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6F" w:rsidRPr="00EA726F" w:rsidRDefault="00EA726F" w:rsidP="00EA726F">
      <w:pPr>
        <w:autoSpaceDE w:val="0"/>
        <w:autoSpaceDN w:val="0"/>
        <w:bidi/>
        <w:spacing w:after="0" w:line="240" w:lineRule="auto"/>
        <w:rPr>
          <w:rFonts w:ascii="Arial" w:eastAsia="Times New Roman" w:hAnsi="Arial" w:cs="David"/>
          <w:sz w:val="24"/>
          <w:szCs w:val="24"/>
          <w:rtl/>
        </w:rPr>
      </w:pPr>
      <w:r w:rsidRPr="00EA726F">
        <w:rPr>
          <w:rFonts w:ascii="Arial" w:eastAsia="Times New Roman" w:hAnsi="Arial" w:cs="David" w:hint="cs"/>
          <w:sz w:val="24"/>
          <w:szCs w:val="24"/>
          <w:rtl/>
        </w:rPr>
        <w:t>המכון הישראלי לפסיכואנליזה</w:t>
      </w:r>
    </w:p>
    <w:p w:rsidR="00EA726F" w:rsidRPr="00EA726F" w:rsidRDefault="00EA726F" w:rsidP="008F7B5A">
      <w:pPr>
        <w:autoSpaceDE w:val="0"/>
        <w:autoSpaceDN w:val="0"/>
        <w:bidi/>
        <w:spacing w:after="0" w:line="240" w:lineRule="auto"/>
        <w:rPr>
          <w:rFonts w:ascii="Arial" w:eastAsia="Times New Roman" w:hAnsi="Arial" w:cs="David"/>
          <w:sz w:val="24"/>
          <w:szCs w:val="24"/>
          <w:rtl/>
        </w:rPr>
      </w:pPr>
      <w:r w:rsidRPr="00EA726F">
        <w:rPr>
          <w:rFonts w:ascii="Arial" w:eastAsia="Times New Roman" w:hAnsi="Arial" w:cs="David" w:hint="cs"/>
          <w:sz w:val="24"/>
          <w:szCs w:val="24"/>
          <w:rtl/>
        </w:rPr>
        <w:t>202</w:t>
      </w:r>
      <w:r w:rsidR="008F7B5A">
        <w:rPr>
          <w:rFonts w:ascii="Arial" w:eastAsia="Times New Roman" w:hAnsi="Arial" w:cs="David" w:hint="cs"/>
          <w:sz w:val="24"/>
          <w:szCs w:val="24"/>
          <w:rtl/>
        </w:rPr>
        <w:t>2</w:t>
      </w:r>
      <w:r w:rsidRPr="00EA726F">
        <w:rPr>
          <w:rFonts w:ascii="Arial" w:eastAsia="Times New Roman" w:hAnsi="Arial" w:cs="David" w:hint="cs"/>
          <w:sz w:val="24"/>
          <w:szCs w:val="24"/>
          <w:rtl/>
        </w:rPr>
        <w:t>-202</w:t>
      </w:r>
      <w:r w:rsidR="008F7B5A">
        <w:rPr>
          <w:rFonts w:ascii="Arial" w:eastAsia="Times New Roman" w:hAnsi="Arial" w:cs="David" w:hint="cs"/>
          <w:sz w:val="24"/>
          <w:szCs w:val="24"/>
          <w:rtl/>
        </w:rPr>
        <w:t>1</w:t>
      </w:r>
      <w:r w:rsidRPr="00EA726F">
        <w:rPr>
          <w:rFonts w:ascii="Arial" w:eastAsia="Times New Roman" w:hAnsi="Arial" w:cs="David" w:hint="cs"/>
          <w:sz w:val="24"/>
          <w:szCs w:val="24"/>
          <w:rtl/>
        </w:rPr>
        <w:t xml:space="preserve"> סמסטר א'</w:t>
      </w:r>
    </w:p>
    <w:p w:rsidR="00EA726F" w:rsidRPr="00EA726F" w:rsidRDefault="00EA726F" w:rsidP="00EA726F">
      <w:pPr>
        <w:autoSpaceDE w:val="0"/>
        <w:autoSpaceDN w:val="0"/>
        <w:bidi/>
        <w:spacing w:after="0" w:line="240" w:lineRule="auto"/>
        <w:rPr>
          <w:rFonts w:ascii="Arial" w:eastAsia="Times New Roman" w:hAnsi="Arial" w:cs="David"/>
          <w:b/>
          <w:bCs/>
          <w:rtl/>
        </w:rPr>
      </w:pPr>
    </w:p>
    <w:p w:rsidR="00EA726F" w:rsidRPr="00EA726F" w:rsidRDefault="00EA726F" w:rsidP="00EA726F">
      <w:pPr>
        <w:autoSpaceDE w:val="0"/>
        <w:autoSpaceDN w:val="0"/>
        <w:bidi/>
        <w:spacing w:after="0" w:line="240" w:lineRule="auto"/>
        <w:jc w:val="center"/>
        <w:rPr>
          <w:rFonts w:ascii="Arial" w:eastAsia="Times New Roman" w:hAnsi="Arial" w:cs="David"/>
          <w:b/>
          <w:bCs/>
          <w:rtl/>
        </w:rPr>
      </w:pPr>
    </w:p>
    <w:p w:rsidR="00EA726F" w:rsidRPr="00EA726F" w:rsidRDefault="00EA726F" w:rsidP="00EA726F">
      <w:pPr>
        <w:autoSpaceDE w:val="0"/>
        <w:autoSpaceDN w:val="0"/>
        <w:bidi/>
        <w:spacing w:after="0" w:line="360" w:lineRule="auto"/>
        <w:jc w:val="center"/>
        <w:rPr>
          <w:rFonts w:ascii="Arial" w:eastAsia="Times New Roman" w:hAnsi="Arial" w:cs="David"/>
          <w:b/>
          <w:bCs/>
          <w:sz w:val="24"/>
          <w:szCs w:val="24"/>
          <w:rtl/>
        </w:rPr>
      </w:pPr>
      <w:r>
        <w:rPr>
          <w:rFonts w:ascii="Arial" w:eastAsia="Times New Roman" w:hAnsi="Arial" w:cs="David" w:hint="cs"/>
          <w:b/>
          <w:bCs/>
          <w:sz w:val="28"/>
          <w:szCs w:val="28"/>
          <w:rtl/>
        </w:rPr>
        <w:t xml:space="preserve">מלאני קליין </w:t>
      </w:r>
      <w:r>
        <w:rPr>
          <w:rFonts w:ascii="Arial" w:eastAsia="Times New Roman" w:hAnsi="Arial" w:cs="David"/>
          <w:b/>
          <w:bCs/>
          <w:sz w:val="28"/>
          <w:szCs w:val="28"/>
          <w:rtl/>
        </w:rPr>
        <w:t>–</w:t>
      </w:r>
      <w:r>
        <w:rPr>
          <w:rFonts w:ascii="Arial" w:eastAsia="Times New Roman" w:hAnsi="Arial" w:cs="David" w:hint="cs"/>
          <w:b/>
          <w:bCs/>
          <w:sz w:val="28"/>
          <w:szCs w:val="28"/>
          <w:rtl/>
        </w:rPr>
        <w:t xml:space="preserve"> מושגי יסוד</w:t>
      </w:r>
    </w:p>
    <w:p w:rsidR="00EA726F" w:rsidRPr="00EA726F" w:rsidRDefault="00EA726F" w:rsidP="00EA726F">
      <w:pPr>
        <w:bidi/>
        <w:spacing w:after="160" w:line="259" w:lineRule="auto"/>
        <w:jc w:val="center"/>
        <w:rPr>
          <w:rFonts w:ascii="Calibri" w:eastAsia="Calibri" w:hAnsi="Calibri" w:cs="Arial"/>
          <w:sz w:val="32"/>
          <w:szCs w:val="32"/>
          <w:rtl/>
        </w:rPr>
      </w:pPr>
      <w:r w:rsidRPr="00EA726F">
        <w:rPr>
          <w:rFonts w:ascii="Arial" w:eastAsia="Times New Roman" w:hAnsi="Arial" w:cs="David" w:hint="cs"/>
          <w:sz w:val="24"/>
          <w:szCs w:val="24"/>
          <w:rtl/>
        </w:rPr>
        <w:t xml:space="preserve">ד"ר </w:t>
      </w:r>
      <w:r>
        <w:rPr>
          <w:rFonts w:ascii="Arial" w:eastAsia="Times New Roman" w:hAnsi="Arial" w:cs="David" w:hint="cs"/>
          <w:sz w:val="24"/>
          <w:szCs w:val="24"/>
          <w:rtl/>
        </w:rPr>
        <w:t>מירב רוט</w:t>
      </w:r>
    </w:p>
    <w:p w:rsidR="00EA726F" w:rsidRDefault="00EA726F" w:rsidP="00844BD9">
      <w:pPr>
        <w:bidi/>
        <w:rPr>
          <w:rFonts w:asciiTheme="majorBidi" w:hAnsiTheme="majorBidi" w:cstheme="majorBidi"/>
          <w:color w:val="000000"/>
          <w:sz w:val="24"/>
          <w:szCs w:val="24"/>
          <w:shd w:val="clear" w:color="auto" w:fill="F7F7F7"/>
          <w:rtl/>
        </w:rPr>
      </w:pPr>
    </w:p>
    <w:p w:rsidR="00586726" w:rsidRPr="00586726" w:rsidRDefault="00586726" w:rsidP="00586726">
      <w:pPr>
        <w:bidi/>
        <w:spacing w:after="0" w:line="240" w:lineRule="auto"/>
        <w:jc w:val="both"/>
        <w:rPr>
          <w:rFonts w:ascii="Times New Roman" w:eastAsia="Times New Roman" w:hAnsi="Times New Roman" w:cs="David"/>
          <w:sz w:val="24"/>
          <w:szCs w:val="24"/>
          <w:rtl/>
          <w:lang w:eastAsia="he-IL"/>
        </w:rPr>
      </w:pPr>
      <w:r w:rsidRPr="00586726">
        <w:rPr>
          <w:rFonts w:ascii="Times New Roman" w:eastAsia="Times New Roman" w:hAnsi="Times New Roman" w:cs="David"/>
          <w:sz w:val="24"/>
          <w:szCs w:val="24"/>
          <w:rtl/>
          <w:lang w:eastAsia="he-IL"/>
        </w:rPr>
        <w:t>בשל האופן האינטואיטיבי בו הסיקה קליין את מסקנותיה התיאורטיות מן המפגשים הקליניים שלה עם הילדים הקטנים ועם המבוגרים שפגשה, מהווה כל מושג שלה הכלאה של קליניקה ותיאוריה שמנהירות ומפרות זו את זו באופן שאינו ניתן להתרה. כל מושג הוא מנוף קליני רב עוצמה</w:t>
      </w:r>
      <w:r w:rsidRPr="00586726">
        <w:rPr>
          <w:rFonts w:ascii="Times New Roman" w:eastAsia="Times New Roman" w:hAnsi="Times New Roman" w:cs="David"/>
          <w:sz w:val="24"/>
          <w:szCs w:val="24"/>
          <w:lang w:eastAsia="he-IL"/>
        </w:rPr>
        <w:t>,</w:t>
      </w:r>
      <w:r w:rsidRPr="00586726">
        <w:rPr>
          <w:rFonts w:ascii="Times New Roman" w:eastAsia="Times New Roman" w:hAnsi="Times New Roman" w:cs="David"/>
          <w:sz w:val="24"/>
          <w:szCs w:val="24"/>
          <w:rtl/>
          <w:lang w:eastAsia="he-IL"/>
        </w:rPr>
        <w:t xml:space="preserve"> והבנתו לעומק תורמת רבות להקשבה ולטכניקה הקליניות</w:t>
      </w:r>
      <w:r w:rsidRPr="00586726">
        <w:rPr>
          <w:rFonts w:ascii="Times New Roman" w:eastAsia="Times New Roman" w:hAnsi="Times New Roman" w:cs="David"/>
          <w:sz w:val="24"/>
          <w:szCs w:val="24"/>
          <w:lang w:eastAsia="he-IL"/>
        </w:rPr>
        <w:t>.</w:t>
      </w:r>
    </w:p>
    <w:p w:rsidR="00586726" w:rsidRPr="00586726" w:rsidRDefault="00586726" w:rsidP="00586726">
      <w:pPr>
        <w:bidi/>
        <w:spacing w:after="0" w:line="240" w:lineRule="auto"/>
        <w:jc w:val="both"/>
        <w:rPr>
          <w:rFonts w:ascii="Times New Roman" w:eastAsia="Times New Roman" w:hAnsi="Times New Roman" w:cs="David"/>
          <w:sz w:val="24"/>
          <w:szCs w:val="24"/>
          <w:lang w:eastAsia="he-IL"/>
        </w:rPr>
      </w:pPr>
      <w:r w:rsidRPr="00586726">
        <w:rPr>
          <w:rFonts w:ascii="Times New Roman" w:eastAsia="Times New Roman" w:hAnsi="Times New Roman" w:cs="David" w:hint="cs"/>
          <w:sz w:val="24"/>
          <w:szCs w:val="24"/>
          <w:rtl/>
          <w:lang w:eastAsia="he-IL"/>
        </w:rPr>
        <w:t>בסמינר</w:t>
      </w:r>
      <w:r w:rsidRPr="00586726">
        <w:rPr>
          <w:rFonts w:ascii="Times New Roman" w:eastAsia="Times New Roman" w:hAnsi="Times New Roman" w:cs="David"/>
          <w:sz w:val="24"/>
          <w:szCs w:val="24"/>
          <w:rtl/>
          <w:lang w:eastAsia="he-IL"/>
        </w:rPr>
        <w:t xml:space="preserve"> נבחן לעומק מושגי יסוד בחשיבה הקלייניאנית דרך קריאה בכתבי קליין עצמה. כל מושג ייבחן</w:t>
      </w:r>
      <w:r w:rsidRPr="00586726">
        <w:rPr>
          <w:rFonts w:ascii="Times New Roman" w:eastAsia="Times New Roman" w:hAnsi="Times New Roman" w:cs="David" w:hint="cs"/>
          <w:sz w:val="24"/>
          <w:szCs w:val="24"/>
          <w:rtl/>
          <w:lang w:eastAsia="he-IL"/>
        </w:rPr>
        <w:t>,</w:t>
      </w:r>
      <w:r w:rsidRPr="00586726">
        <w:rPr>
          <w:rFonts w:ascii="Times New Roman" w:eastAsia="Times New Roman" w:hAnsi="Times New Roman" w:cs="David"/>
          <w:sz w:val="24"/>
          <w:szCs w:val="24"/>
          <w:rtl/>
          <w:lang w:eastAsia="he-IL"/>
        </w:rPr>
        <w:t xml:space="preserve"> ראשית, דרך אופן </w:t>
      </w:r>
      <w:proofErr w:type="spellStart"/>
      <w:r w:rsidRPr="00586726">
        <w:rPr>
          <w:rFonts w:ascii="Times New Roman" w:eastAsia="Times New Roman" w:hAnsi="Times New Roman" w:cs="David"/>
          <w:sz w:val="24"/>
          <w:szCs w:val="24"/>
          <w:rtl/>
          <w:lang w:eastAsia="he-IL"/>
        </w:rPr>
        <w:t>המשגתו</w:t>
      </w:r>
      <w:proofErr w:type="spellEnd"/>
      <w:r w:rsidRPr="00586726">
        <w:rPr>
          <w:rFonts w:ascii="Times New Roman" w:eastAsia="Times New Roman" w:hAnsi="Times New Roman" w:cs="David"/>
          <w:sz w:val="24"/>
          <w:szCs w:val="24"/>
          <w:rtl/>
          <w:lang w:eastAsia="he-IL"/>
        </w:rPr>
        <w:t xml:space="preserve"> אצל מלאני קליין עצמה, ושנית, דרך התבוננות באופן בו מתגלם המושג </w:t>
      </w:r>
      <w:proofErr w:type="spellStart"/>
      <w:r w:rsidRPr="00586726">
        <w:rPr>
          <w:rFonts w:ascii="Times New Roman" w:eastAsia="Times New Roman" w:hAnsi="Times New Roman" w:cs="David"/>
          <w:sz w:val="24"/>
          <w:szCs w:val="24"/>
          <w:rtl/>
          <w:lang w:eastAsia="he-IL"/>
        </w:rPr>
        <w:t>בוינייטה</w:t>
      </w:r>
      <w:proofErr w:type="spellEnd"/>
      <w:r w:rsidRPr="00586726">
        <w:rPr>
          <w:rFonts w:ascii="Times New Roman" w:eastAsia="Times New Roman" w:hAnsi="Times New Roman" w:cs="David"/>
          <w:sz w:val="24"/>
          <w:szCs w:val="24"/>
          <w:rtl/>
          <w:lang w:eastAsia="he-IL"/>
        </w:rPr>
        <w:t xml:space="preserve"> קלינית שתובא על ידי המשתתפים, על מנת להוריד את התיאוריה אל הקליניקה ולנסות להבין כיצד עובדים עם כל מושג ומפרשים את מופעיו דרך יחסי ההעברה, שהם במוקד העבודה הקלייניאנית.</w:t>
      </w:r>
    </w:p>
    <w:p w:rsidR="00586726" w:rsidRPr="00586726" w:rsidRDefault="00586726" w:rsidP="00586726">
      <w:pPr>
        <w:bidi/>
        <w:spacing w:after="0" w:line="240" w:lineRule="auto"/>
        <w:jc w:val="both"/>
        <w:rPr>
          <w:rFonts w:ascii="Times New Roman" w:eastAsia="Times New Roman" w:hAnsi="Times New Roman" w:cs="David"/>
          <w:sz w:val="24"/>
          <w:szCs w:val="24"/>
          <w:rtl/>
          <w:lang w:eastAsia="he-IL"/>
        </w:rPr>
      </w:pPr>
      <w:r w:rsidRPr="00586726">
        <w:rPr>
          <w:rFonts w:ascii="Times New Roman" w:eastAsia="Times New Roman" w:hAnsi="Times New Roman" w:cs="David"/>
          <w:sz w:val="24"/>
          <w:szCs w:val="24"/>
          <w:rtl/>
          <w:lang w:eastAsia="he-IL"/>
        </w:rPr>
        <w:t xml:space="preserve">המושגים שייבחנו הינם: העולם הפנימי; הפנטסיה הלא מודעת; חרדה; התפתחות החשיבה ויצירת הסמלים; דחף החיים, אהבה ותיקון; העמדות (פרנואידית-סכיזואידית </w:t>
      </w:r>
      <w:proofErr w:type="spellStart"/>
      <w:r w:rsidRPr="00586726">
        <w:rPr>
          <w:rFonts w:ascii="Times New Roman" w:eastAsia="Times New Roman" w:hAnsi="Times New Roman" w:cs="David"/>
          <w:sz w:val="24"/>
          <w:szCs w:val="24"/>
          <w:rtl/>
          <w:lang w:eastAsia="he-IL"/>
        </w:rPr>
        <w:t>ודיפרסיבית</w:t>
      </w:r>
      <w:proofErr w:type="spellEnd"/>
      <w:r w:rsidRPr="00586726">
        <w:rPr>
          <w:rFonts w:ascii="Times New Roman" w:eastAsia="Times New Roman" w:hAnsi="Times New Roman" w:cs="David"/>
          <w:sz w:val="24"/>
          <w:szCs w:val="24"/>
          <w:rtl/>
          <w:lang w:eastAsia="he-IL"/>
        </w:rPr>
        <w:t>); הזדהות השלכתית; האדיפוס המוקדם; דחף המוות, שנאה וצרות עין; העברה.</w:t>
      </w:r>
    </w:p>
    <w:p w:rsidR="00CA295A" w:rsidRPr="00EA726F" w:rsidRDefault="00CA295A" w:rsidP="00844BD9">
      <w:pPr>
        <w:bidi/>
        <w:rPr>
          <w:rFonts w:ascii="David" w:eastAsia="Times New Roman" w:hAnsi="David" w:cs="David"/>
          <w:color w:val="000000"/>
          <w:sz w:val="24"/>
          <w:szCs w:val="24"/>
          <w:rtl/>
        </w:rPr>
      </w:pPr>
      <w:bookmarkStart w:id="0" w:name="_GoBack"/>
      <w:bookmarkEnd w:id="0"/>
    </w:p>
    <w:p w:rsidR="00CA295A" w:rsidRPr="00EA726F" w:rsidRDefault="00CA295A" w:rsidP="00EA726F">
      <w:pPr>
        <w:shd w:val="clear" w:color="auto" w:fill="FFFFFF" w:themeFill="background1"/>
        <w:bidi/>
        <w:spacing w:line="360" w:lineRule="auto"/>
        <w:rPr>
          <w:rFonts w:ascii="David" w:hAnsi="David" w:cs="David"/>
          <w:color w:val="000000"/>
          <w:sz w:val="24"/>
          <w:szCs w:val="24"/>
          <w:shd w:val="clear" w:color="auto" w:fill="FFFFFF"/>
          <w:rtl/>
        </w:rPr>
      </w:pPr>
      <w:r w:rsidRPr="00EA726F">
        <w:rPr>
          <w:rFonts w:ascii="David" w:hAnsi="David" w:cs="David"/>
          <w:b/>
          <w:bCs/>
          <w:color w:val="000000"/>
          <w:sz w:val="24"/>
          <w:szCs w:val="24"/>
          <w:u w:val="single"/>
          <w:shd w:val="clear" w:color="auto" w:fill="FFFFFF"/>
          <w:rtl/>
        </w:rPr>
        <w:t xml:space="preserve">לקראת </w:t>
      </w:r>
      <w:r w:rsidR="00EA726F">
        <w:rPr>
          <w:rFonts w:ascii="David" w:hAnsi="David" w:cs="David" w:hint="cs"/>
          <w:b/>
          <w:bCs/>
          <w:color w:val="000000"/>
          <w:sz w:val="24"/>
          <w:szCs w:val="24"/>
          <w:u w:val="single"/>
          <w:shd w:val="clear" w:color="auto" w:fill="FFFFFF"/>
          <w:rtl/>
        </w:rPr>
        <w:t>הסמינר</w:t>
      </w:r>
      <w:r w:rsidRPr="00EA726F">
        <w:rPr>
          <w:rFonts w:ascii="David" w:hAnsi="David" w:cs="David"/>
          <w:color w:val="000000"/>
          <w:sz w:val="24"/>
          <w:szCs w:val="24"/>
          <w:shd w:val="clear" w:color="auto" w:fill="FFFFFF"/>
          <w:rtl/>
        </w:rPr>
        <w:t xml:space="preserve">, אתם מוזמנים לקרוא את שני המבואות – אחד בפתח כל כרך – לספרי </w:t>
      </w:r>
      <w:r w:rsidR="00EA726F">
        <w:rPr>
          <w:rFonts w:ascii="David" w:hAnsi="David" w:cs="David" w:hint="cs"/>
          <w:i/>
          <w:iCs/>
          <w:color w:val="000000"/>
          <w:sz w:val="24"/>
          <w:szCs w:val="24"/>
          <w:shd w:val="clear" w:color="auto" w:fill="FFFFFF"/>
          <w:rtl/>
        </w:rPr>
        <w:t xml:space="preserve"> </w:t>
      </w:r>
      <w:r w:rsidRPr="00EA726F">
        <w:rPr>
          <w:rFonts w:ascii="David" w:hAnsi="David" w:cs="David"/>
          <w:i/>
          <w:iCs/>
          <w:color w:val="000000"/>
          <w:sz w:val="24"/>
          <w:szCs w:val="24"/>
          <w:shd w:val="clear" w:color="auto" w:fill="FFFFFF"/>
          <w:rtl/>
        </w:rPr>
        <w:t>מלאני קליין – כתבים נבחרים</w:t>
      </w:r>
      <w:r w:rsidRPr="00EA726F">
        <w:rPr>
          <w:rFonts w:ascii="David" w:hAnsi="David" w:cs="David"/>
          <w:color w:val="000000"/>
          <w:sz w:val="24"/>
          <w:szCs w:val="24"/>
          <w:shd w:val="clear" w:color="auto" w:fill="FFFFFF"/>
          <w:rtl/>
        </w:rPr>
        <w:t xml:space="preserve"> </w:t>
      </w:r>
      <w:r w:rsidRPr="00EA726F">
        <w:rPr>
          <w:rFonts w:ascii="David" w:hAnsi="David" w:cs="David"/>
          <w:i/>
          <w:iCs/>
          <w:color w:val="000000"/>
          <w:sz w:val="24"/>
          <w:szCs w:val="24"/>
          <w:shd w:val="clear" w:color="auto" w:fill="FFFFFF"/>
          <w:rtl/>
        </w:rPr>
        <w:t>א</w:t>
      </w:r>
      <w:r w:rsidRPr="00EA726F">
        <w:rPr>
          <w:rFonts w:ascii="David" w:hAnsi="David" w:cs="David"/>
          <w:color w:val="000000"/>
          <w:sz w:val="24"/>
          <w:szCs w:val="24"/>
          <w:shd w:val="clear" w:color="auto" w:fill="FFFFFF"/>
          <w:rtl/>
        </w:rPr>
        <w:t>' ו-</w:t>
      </w:r>
      <w:r w:rsidRPr="00EA726F">
        <w:rPr>
          <w:rFonts w:ascii="David" w:hAnsi="David" w:cs="David"/>
          <w:i/>
          <w:iCs/>
          <w:color w:val="000000"/>
          <w:sz w:val="24"/>
          <w:szCs w:val="24"/>
          <w:shd w:val="clear" w:color="auto" w:fill="FFFFFF"/>
          <w:rtl/>
        </w:rPr>
        <w:t>ב</w:t>
      </w:r>
      <w:r w:rsidRPr="00EA726F">
        <w:rPr>
          <w:rFonts w:ascii="David" w:hAnsi="David" w:cs="David"/>
          <w:color w:val="000000"/>
          <w:sz w:val="24"/>
          <w:szCs w:val="24"/>
          <w:shd w:val="clear" w:color="auto" w:fill="FFFFFF"/>
          <w:rtl/>
        </w:rPr>
        <w:t xml:space="preserve">' שיצאו בהוצאת תולעת ספרים. </w:t>
      </w:r>
    </w:p>
    <w:p w:rsidR="00EA726F" w:rsidRDefault="00EA726F" w:rsidP="00CA295A">
      <w:pPr>
        <w:shd w:val="clear" w:color="auto" w:fill="FFFFFF" w:themeFill="background1"/>
        <w:bidi/>
        <w:spacing w:line="360" w:lineRule="auto"/>
        <w:rPr>
          <w:rFonts w:ascii="David" w:hAnsi="David" w:cs="David"/>
          <w:b/>
          <w:bCs/>
          <w:sz w:val="24"/>
          <w:szCs w:val="24"/>
          <w:rtl/>
        </w:rPr>
      </w:pPr>
    </w:p>
    <w:p w:rsidR="00CA295A" w:rsidRPr="00EA726F" w:rsidRDefault="00CA295A" w:rsidP="00EA726F">
      <w:pPr>
        <w:shd w:val="clear" w:color="auto" w:fill="FFFFFF" w:themeFill="background1"/>
        <w:bidi/>
        <w:spacing w:line="360" w:lineRule="auto"/>
        <w:rPr>
          <w:rFonts w:ascii="David" w:hAnsi="David" w:cs="David"/>
          <w:b/>
          <w:bCs/>
          <w:sz w:val="24"/>
          <w:szCs w:val="24"/>
          <w:rtl/>
        </w:rPr>
      </w:pPr>
      <w:r w:rsidRPr="00EA726F">
        <w:rPr>
          <w:rFonts w:ascii="David" w:hAnsi="David" w:cs="David"/>
          <w:b/>
          <w:bCs/>
          <w:sz w:val="24"/>
          <w:szCs w:val="24"/>
          <w:rtl/>
        </w:rPr>
        <w:t>רשימת הקריאה:</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 xml:space="preserve">קליין, מ. (1926). </w:t>
      </w:r>
      <w:r w:rsidR="00EA726F">
        <w:rPr>
          <w:rFonts w:ascii="David" w:hAnsi="David" w:cs="David" w:hint="cs"/>
          <w:sz w:val="24"/>
          <w:szCs w:val="24"/>
          <w:rtl/>
        </w:rPr>
        <w:t xml:space="preserve"> </w:t>
      </w:r>
      <w:r w:rsidRPr="00EA726F">
        <w:rPr>
          <w:rFonts w:ascii="David" w:hAnsi="David" w:cs="David"/>
          <w:sz w:val="24"/>
          <w:szCs w:val="24"/>
          <w:rtl/>
        </w:rPr>
        <w:t xml:space="preserve">העקרונות הפסיכולוגיים של אנליזה מוקדמת. </w:t>
      </w:r>
      <w:r w:rsidRPr="00EA726F">
        <w:rPr>
          <w:rFonts w:ascii="David" w:hAnsi="David" w:cs="David"/>
          <w:i/>
          <w:iCs/>
          <w:sz w:val="24"/>
          <w:szCs w:val="24"/>
          <w:rtl/>
        </w:rPr>
        <w:t>מלאני קליין – כתבים נבחרים, כרך א'</w:t>
      </w:r>
      <w:r w:rsidRPr="00EA726F">
        <w:rPr>
          <w:rFonts w:ascii="David" w:hAnsi="David" w:cs="David"/>
          <w:sz w:val="24"/>
          <w:szCs w:val="24"/>
          <w:rtl/>
        </w:rPr>
        <w:t>, בעריכת י. דורבן, הוצאת תולעת ספרים, תל-אביב, 2003, עמ' 41-52.</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קליין, מ. (1930). החשיבות של יצירת סמלים בהתפתחות האני</w:t>
      </w:r>
      <w:r w:rsidRPr="00EA726F">
        <w:rPr>
          <w:rFonts w:ascii="David" w:hAnsi="David" w:cs="David"/>
          <w:i/>
          <w:iCs/>
          <w:sz w:val="24"/>
          <w:szCs w:val="24"/>
          <w:rtl/>
        </w:rPr>
        <w:t>.</w:t>
      </w:r>
      <w:r w:rsidRPr="00EA726F">
        <w:rPr>
          <w:rFonts w:ascii="David" w:hAnsi="David" w:cs="David"/>
          <w:sz w:val="24"/>
          <w:szCs w:val="24"/>
          <w:rtl/>
        </w:rPr>
        <w:t xml:space="preserve"> </w:t>
      </w:r>
      <w:r w:rsidRPr="00EA726F">
        <w:rPr>
          <w:rFonts w:ascii="David" w:hAnsi="David" w:cs="David"/>
          <w:i/>
          <w:iCs/>
          <w:sz w:val="24"/>
          <w:szCs w:val="24"/>
          <w:rtl/>
        </w:rPr>
        <w:t>מלאני קליין – כתבים נבחרים, כרך ב'</w:t>
      </w:r>
      <w:r w:rsidRPr="00EA726F">
        <w:rPr>
          <w:rFonts w:ascii="David" w:hAnsi="David" w:cs="David"/>
          <w:sz w:val="24"/>
          <w:szCs w:val="24"/>
          <w:rtl/>
        </w:rPr>
        <w:t xml:space="preserve">, בעריכת י. דורבן </w:t>
      </w:r>
      <w:proofErr w:type="spellStart"/>
      <w:r w:rsidRPr="00EA726F">
        <w:rPr>
          <w:rFonts w:ascii="David" w:hAnsi="David" w:cs="David"/>
          <w:sz w:val="24"/>
          <w:szCs w:val="24"/>
          <w:rtl/>
        </w:rPr>
        <w:t>ומ</w:t>
      </w:r>
      <w:proofErr w:type="spellEnd"/>
      <w:r w:rsidRPr="00EA726F">
        <w:rPr>
          <w:rFonts w:ascii="David" w:hAnsi="David" w:cs="David"/>
          <w:sz w:val="24"/>
          <w:szCs w:val="24"/>
          <w:rtl/>
        </w:rPr>
        <w:t>. רוט, הוצאת תולעת ספרים, תל-אביב, 2012, עמ' 83-106.</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 xml:space="preserve">קליין, מ. (1937). אהבה, אשמה ותיקון. </w:t>
      </w:r>
      <w:r w:rsidRPr="00EA726F">
        <w:rPr>
          <w:rFonts w:ascii="David" w:hAnsi="David" w:cs="David"/>
          <w:i/>
          <w:iCs/>
          <w:sz w:val="24"/>
          <w:szCs w:val="24"/>
          <w:rtl/>
        </w:rPr>
        <w:t>מלאני קליין – כתבים נבחרים, כרך א'</w:t>
      </w:r>
      <w:r w:rsidRPr="00EA726F">
        <w:rPr>
          <w:rFonts w:ascii="David" w:hAnsi="David" w:cs="David"/>
          <w:sz w:val="24"/>
          <w:szCs w:val="24"/>
          <w:rtl/>
        </w:rPr>
        <w:t>, בעריכת י. דורבן, הוצאת תולעת ספרים, תל-אביב, 2003, עמ' 53-93.</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קליין, מ. (1940).</w:t>
      </w:r>
      <w:r w:rsidRPr="00EA726F">
        <w:rPr>
          <w:rFonts w:ascii="David" w:hAnsi="David" w:cs="David"/>
          <w:i/>
          <w:iCs/>
          <w:sz w:val="24"/>
          <w:szCs w:val="24"/>
          <w:rtl/>
        </w:rPr>
        <w:t xml:space="preserve"> </w:t>
      </w:r>
      <w:r w:rsidRPr="00EA726F">
        <w:rPr>
          <w:rFonts w:ascii="David" w:hAnsi="David" w:cs="David"/>
          <w:sz w:val="24"/>
          <w:szCs w:val="24"/>
          <w:rtl/>
        </w:rPr>
        <w:t xml:space="preserve">אבל ביחס למצבים מאניים </w:t>
      </w:r>
      <w:proofErr w:type="spellStart"/>
      <w:r w:rsidRPr="00EA726F">
        <w:rPr>
          <w:rFonts w:ascii="David" w:hAnsi="David" w:cs="David"/>
          <w:sz w:val="24"/>
          <w:szCs w:val="24"/>
          <w:rtl/>
        </w:rPr>
        <w:t>דיפרסיביים</w:t>
      </w:r>
      <w:proofErr w:type="spellEnd"/>
      <w:r w:rsidRPr="00EA726F">
        <w:rPr>
          <w:rFonts w:ascii="David" w:hAnsi="David" w:cs="David"/>
          <w:i/>
          <w:iCs/>
          <w:sz w:val="24"/>
          <w:szCs w:val="24"/>
          <w:rtl/>
        </w:rPr>
        <w:t>. מלאני קליין – כתבים נבחרים, כרך א'</w:t>
      </w:r>
      <w:r w:rsidRPr="00EA726F">
        <w:rPr>
          <w:rFonts w:ascii="David" w:hAnsi="David" w:cs="David"/>
          <w:sz w:val="24"/>
          <w:szCs w:val="24"/>
          <w:rtl/>
        </w:rPr>
        <w:t>, בעריכת י. דורבן, הוצאת תולעת ספרים, תל-אביב, 2003, עמ' 94-121.</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קליין, מ. (1946).</w:t>
      </w:r>
      <w:r w:rsidRPr="00EA726F">
        <w:rPr>
          <w:rFonts w:ascii="David" w:hAnsi="David" w:cs="David"/>
          <w:i/>
          <w:iCs/>
          <w:sz w:val="24"/>
          <w:szCs w:val="24"/>
          <w:rtl/>
        </w:rPr>
        <w:t xml:space="preserve"> </w:t>
      </w:r>
      <w:r w:rsidRPr="00EA726F">
        <w:rPr>
          <w:rFonts w:ascii="David" w:hAnsi="David" w:cs="David"/>
          <w:sz w:val="24"/>
          <w:szCs w:val="24"/>
          <w:rtl/>
        </w:rPr>
        <w:t>הערות לכמה מנגנונים סכיזואידיים</w:t>
      </w:r>
      <w:r w:rsidRPr="00EA726F">
        <w:rPr>
          <w:rFonts w:ascii="David" w:hAnsi="David" w:cs="David"/>
          <w:i/>
          <w:iCs/>
          <w:sz w:val="24"/>
          <w:szCs w:val="24"/>
          <w:rtl/>
        </w:rPr>
        <w:t>. מלאני קליין – כתבים נבחרים, כרך א'</w:t>
      </w:r>
      <w:r w:rsidRPr="00EA726F">
        <w:rPr>
          <w:rFonts w:ascii="David" w:hAnsi="David" w:cs="David"/>
          <w:sz w:val="24"/>
          <w:szCs w:val="24"/>
          <w:rtl/>
        </w:rPr>
        <w:t>, בעריכת י. דורבן, הוצאת תולעת ספרים, תל-אביב, 2003, עמ' 177-203.</w:t>
      </w:r>
    </w:p>
    <w:p w:rsidR="00CA295A" w:rsidRPr="00EA726F" w:rsidRDefault="00CA295A" w:rsidP="00CA295A">
      <w:pPr>
        <w:shd w:val="clear" w:color="auto" w:fill="FFFFFF" w:themeFill="background1"/>
        <w:bidi/>
        <w:spacing w:line="360" w:lineRule="auto"/>
        <w:rPr>
          <w:rFonts w:ascii="David" w:hAnsi="David" w:cs="David"/>
          <w:color w:val="000000"/>
          <w:sz w:val="24"/>
          <w:szCs w:val="24"/>
          <w:shd w:val="clear" w:color="auto" w:fill="FFFFFF"/>
          <w:rtl/>
        </w:rPr>
      </w:pPr>
      <w:r w:rsidRPr="00EA726F">
        <w:rPr>
          <w:rFonts w:ascii="David" w:hAnsi="David" w:cs="David"/>
          <w:sz w:val="24"/>
          <w:szCs w:val="24"/>
          <w:rtl/>
        </w:rPr>
        <w:t xml:space="preserve">קליין, מ. (1945). התסביך האדיפלי לנוכח החרדות המוקדמות. </w:t>
      </w:r>
      <w:r w:rsidRPr="00EA726F">
        <w:rPr>
          <w:rFonts w:ascii="David" w:hAnsi="David" w:cs="David"/>
          <w:i/>
          <w:iCs/>
          <w:sz w:val="24"/>
          <w:szCs w:val="24"/>
          <w:rtl/>
        </w:rPr>
        <w:t>מלאני קליין – כתבים נבחרים, כרך א'</w:t>
      </w:r>
      <w:r w:rsidRPr="00EA726F">
        <w:rPr>
          <w:rFonts w:ascii="David" w:hAnsi="David" w:cs="David"/>
          <w:sz w:val="24"/>
          <w:szCs w:val="24"/>
          <w:rtl/>
        </w:rPr>
        <w:t xml:space="preserve">, בעריכת י. דורבן, הוצאת תולעת ספרים, תל-אביב, 2003, עמ' </w:t>
      </w:r>
      <w:r w:rsidRPr="00EA726F">
        <w:rPr>
          <w:rFonts w:ascii="David" w:hAnsi="David" w:cs="David"/>
          <w:color w:val="000000"/>
          <w:sz w:val="24"/>
          <w:szCs w:val="24"/>
          <w:shd w:val="clear" w:color="auto" w:fill="FFFFFF"/>
          <w:rtl/>
        </w:rPr>
        <w:t>122-174.</w:t>
      </w:r>
    </w:p>
    <w:p w:rsidR="00CA295A" w:rsidRPr="00EA726F" w:rsidRDefault="00CA295A" w:rsidP="00CA295A">
      <w:pPr>
        <w:shd w:val="clear" w:color="auto" w:fill="FFFFFF" w:themeFill="background1"/>
        <w:bidi/>
        <w:spacing w:line="360" w:lineRule="auto"/>
        <w:rPr>
          <w:rFonts w:ascii="David" w:eastAsia="Times New Roman" w:hAnsi="David" w:cs="David"/>
          <w:color w:val="000000"/>
          <w:sz w:val="24"/>
          <w:szCs w:val="24"/>
        </w:rPr>
      </w:pPr>
      <w:r w:rsidRPr="00EA726F">
        <w:rPr>
          <w:rFonts w:ascii="David" w:hAnsi="David" w:cs="David"/>
          <w:sz w:val="24"/>
          <w:szCs w:val="24"/>
          <w:rtl/>
        </w:rPr>
        <w:lastRenderedPageBreak/>
        <w:t>קליין, מ. (1957</w:t>
      </w:r>
      <w:r w:rsidRPr="00EA726F">
        <w:rPr>
          <w:rFonts w:ascii="David" w:hAnsi="David" w:cs="David"/>
          <w:color w:val="000000"/>
          <w:sz w:val="24"/>
          <w:szCs w:val="24"/>
          <w:shd w:val="clear" w:color="auto" w:fill="FFFFFF"/>
          <w:rtl/>
        </w:rPr>
        <w:t>). צרות עין והכרת תודה</w:t>
      </w:r>
      <w:r w:rsidRPr="00EA726F">
        <w:rPr>
          <w:rFonts w:ascii="David" w:hAnsi="David" w:cs="David"/>
          <w:sz w:val="24"/>
          <w:szCs w:val="24"/>
          <w:rtl/>
        </w:rPr>
        <w:t xml:space="preserve">. </w:t>
      </w:r>
      <w:r w:rsidRPr="00EA726F">
        <w:rPr>
          <w:rFonts w:ascii="David" w:hAnsi="David" w:cs="David"/>
          <w:i/>
          <w:iCs/>
          <w:sz w:val="24"/>
          <w:szCs w:val="24"/>
          <w:rtl/>
        </w:rPr>
        <w:t>מלאני קליין – כתבים נבחרים, כרך א'</w:t>
      </w:r>
      <w:r w:rsidRPr="00EA726F">
        <w:rPr>
          <w:rFonts w:ascii="David" w:hAnsi="David" w:cs="David"/>
          <w:sz w:val="24"/>
          <w:szCs w:val="24"/>
          <w:rtl/>
        </w:rPr>
        <w:t xml:space="preserve">, בעריכת י. דורבן, הוצאת תולעת ספרים, תל-אביב, 2003, עמ' </w:t>
      </w:r>
      <w:r w:rsidRPr="00EA726F">
        <w:rPr>
          <w:rFonts w:ascii="David" w:hAnsi="David" w:cs="David"/>
          <w:color w:val="000000"/>
          <w:sz w:val="24"/>
          <w:szCs w:val="24"/>
          <w:shd w:val="clear" w:color="auto" w:fill="FFFFFF"/>
          <w:rtl/>
        </w:rPr>
        <w:t>241-304.</w:t>
      </w:r>
    </w:p>
    <w:p w:rsidR="00CA295A" w:rsidRPr="00EA726F" w:rsidRDefault="00CA295A" w:rsidP="00CA295A">
      <w:pPr>
        <w:shd w:val="clear" w:color="auto" w:fill="FFFFFF" w:themeFill="background1"/>
        <w:bidi/>
        <w:spacing w:line="360" w:lineRule="auto"/>
        <w:rPr>
          <w:rFonts w:ascii="David" w:hAnsi="David" w:cs="David"/>
          <w:sz w:val="24"/>
          <w:szCs w:val="24"/>
          <w:rtl/>
        </w:rPr>
      </w:pPr>
      <w:r w:rsidRPr="00EA726F">
        <w:rPr>
          <w:rFonts w:ascii="David" w:hAnsi="David" w:cs="David"/>
          <w:sz w:val="24"/>
          <w:szCs w:val="24"/>
          <w:rtl/>
        </w:rPr>
        <w:t>קליין, מ. (1963). על תחושת הבדידות</w:t>
      </w:r>
      <w:r w:rsidRPr="00EA726F">
        <w:rPr>
          <w:rFonts w:ascii="David" w:hAnsi="David" w:cs="David"/>
          <w:i/>
          <w:iCs/>
          <w:sz w:val="24"/>
          <w:szCs w:val="24"/>
          <w:rtl/>
        </w:rPr>
        <w:t>.</w:t>
      </w:r>
      <w:r w:rsidRPr="00EA726F">
        <w:rPr>
          <w:rFonts w:ascii="David" w:hAnsi="David" w:cs="David"/>
          <w:sz w:val="24"/>
          <w:szCs w:val="24"/>
          <w:rtl/>
        </w:rPr>
        <w:t xml:space="preserve"> </w:t>
      </w:r>
      <w:r w:rsidRPr="00EA726F">
        <w:rPr>
          <w:rFonts w:ascii="David" w:hAnsi="David" w:cs="David"/>
          <w:i/>
          <w:iCs/>
          <w:sz w:val="24"/>
          <w:szCs w:val="24"/>
          <w:rtl/>
        </w:rPr>
        <w:t>מלאני קליין – כתבים נבחרים, כרך ב'</w:t>
      </w:r>
      <w:r w:rsidRPr="00EA726F">
        <w:rPr>
          <w:rFonts w:ascii="David" w:hAnsi="David" w:cs="David"/>
          <w:sz w:val="24"/>
          <w:szCs w:val="24"/>
          <w:rtl/>
        </w:rPr>
        <w:t xml:space="preserve">, בעריכת י. דורבן </w:t>
      </w:r>
      <w:proofErr w:type="spellStart"/>
      <w:r w:rsidRPr="00EA726F">
        <w:rPr>
          <w:rFonts w:ascii="David" w:hAnsi="David" w:cs="David"/>
          <w:sz w:val="24"/>
          <w:szCs w:val="24"/>
          <w:rtl/>
        </w:rPr>
        <w:t>ומ</w:t>
      </w:r>
      <w:proofErr w:type="spellEnd"/>
      <w:r w:rsidRPr="00EA726F">
        <w:rPr>
          <w:rFonts w:ascii="David" w:hAnsi="David" w:cs="David"/>
          <w:sz w:val="24"/>
          <w:szCs w:val="24"/>
          <w:rtl/>
        </w:rPr>
        <w:t>. רוט, הוצאת תולעת ספרים, תל-אביב, 2012, עמ' 297-322.</w:t>
      </w:r>
    </w:p>
    <w:p w:rsidR="00EA726F" w:rsidRDefault="00EA726F" w:rsidP="00CA295A">
      <w:pPr>
        <w:shd w:val="clear" w:color="auto" w:fill="FFFFFF" w:themeFill="background1"/>
        <w:bidi/>
        <w:spacing w:line="360" w:lineRule="auto"/>
        <w:rPr>
          <w:rFonts w:ascii="David" w:hAnsi="David" w:cs="David"/>
          <w:color w:val="000000"/>
          <w:sz w:val="24"/>
          <w:szCs w:val="24"/>
          <w:shd w:val="clear" w:color="auto" w:fill="FFFFFF"/>
          <w:rtl/>
        </w:rPr>
      </w:pPr>
    </w:p>
    <w:p w:rsidR="00CA295A" w:rsidRPr="00EA726F" w:rsidRDefault="00CA295A" w:rsidP="00EA726F">
      <w:pPr>
        <w:shd w:val="clear" w:color="auto" w:fill="FFFFFF" w:themeFill="background1"/>
        <w:bidi/>
        <w:spacing w:line="360" w:lineRule="auto"/>
        <w:rPr>
          <w:rFonts w:ascii="David" w:hAnsi="David" w:cs="David"/>
          <w:color w:val="000000"/>
          <w:sz w:val="24"/>
          <w:szCs w:val="24"/>
          <w:shd w:val="clear" w:color="auto" w:fill="FFFFFF"/>
          <w:rtl/>
        </w:rPr>
      </w:pPr>
      <w:r w:rsidRPr="00EA726F">
        <w:rPr>
          <w:rFonts w:ascii="David" w:hAnsi="David" w:cs="David"/>
          <w:color w:val="000000"/>
          <w:sz w:val="24"/>
          <w:szCs w:val="24"/>
          <w:shd w:val="clear" w:color="auto" w:fill="FFFFFF"/>
          <w:rtl/>
        </w:rPr>
        <w:t>קריאה מהנה,</w:t>
      </w:r>
    </w:p>
    <w:p w:rsidR="00CA295A" w:rsidRPr="00EA726F" w:rsidRDefault="00CA295A" w:rsidP="00CA295A">
      <w:pPr>
        <w:shd w:val="clear" w:color="auto" w:fill="FFFFFF" w:themeFill="background1"/>
        <w:bidi/>
        <w:spacing w:line="360" w:lineRule="auto"/>
        <w:rPr>
          <w:rFonts w:ascii="David" w:hAnsi="David" w:cs="David"/>
          <w:color w:val="000000"/>
          <w:sz w:val="24"/>
          <w:szCs w:val="24"/>
          <w:shd w:val="clear" w:color="auto" w:fill="FFFFFF"/>
          <w:rtl/>
        </w:rPr>
      </w:pPr>
      <w:r w:rsidRPr="00EA726F">
        <w:rPr>
          <w:rFonts w:ascii="David" w:hAnsi="David" w:cs="David"/>
          <w:color w:val="000000"/>
          <w:sz w:val="24"/>
          <w:szCs w:val="24"/>
          <w:shd w:val="clear" w:color="auto" w:fill="FFFFFF"/>
          <w:rtl/>
        </w:rPr>
        <w:t>מצפה להתראות אתכם בקרוב,</w:t>
      </w:r>
    </w:p>
    <w:p w:rsidR="00CA295A" w:rsidRPr="00EA726F" w:rsidRDefault="00CA295A" w:rsidP="00CA295A">
      <w:pPr>
        <w:shd w:val="clear" w:color="auto" w:fill="FFFFFF" w:themeFill="background1"/>
        <w:bidi/>
        <w:spacing w:line="360" w:lineRule="auto"/>
        <w:rPr>
          <w:rFonts w:ascii="David" w:hAnsi="David" w:cs="David"/>
          <w:color w:val="000000"/>
          <w:sz w:val="24"/>
          <w:szCs w:val="24"/>
          <w:shd w:val="clear" w:color="auto" w:fill="FFFFFF"/>
          <w:rtl/>
        </w:rPr>
      </w:pPr>
      <w:r w:rsidRPr="00EA726F">
        <w:rPr>
          <w:rFonts w:ascii="David" w:hAnsi="David" w:cs="David"/>
          <w:color w:val="000000"/>
          <w:sz w:val="24"/>
          <w:szCs w:val="24"/>
          <w:shd w:val="clear" w:color="auto" w:fill="FFFFFF"/>
          <w:rtl/>
        </w:rPr>
        <w:t>ד"ר מירב רוט.</w:t>
      </w:r>
    </w:p>
    <w:p w:rsidR="00CA295A" w:rsidRPr="00786E50" w:rsidRDefault="00CA295A" w:rsidP="00CA295A">
      <w:pPr>
        <w:shd w:val="clear" w:color="auto" w:fill="FFFFFF" w:themeFill="background1"/>
        <w:bidi/>
        <w:rPr>
          <w:rFonts w:asciiTheme="majorBidi" w:eastAsia="Times New Roman" w:hAnsiTheme="majorBidi" w:cstheme="majorBidi"/>
          <w:color w:val="000000"/>
          <w:sz w:val="24"/>
          <w:szCs w:val="24"/>
        </w:rPr>
      </w:pPr>
    </w:p>
    <w:sectPr w:rsidR="00CA295A" w:rsidRPr="00786E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4E" w:rsidRDefault="00AB2A4E" w:rsidP="00EA726F">
      <w:pPr>
        <w:spacing w:after="0" w:line="240" w:lineRule="auto"/>
      </w:pPr>
      <w:r>
        <w:separator/>
      </w:r>
    </w:p>
  </w:endnote>
  <w:endnote w:type="continuationSeparator" w:id="0">
    <w:p w:rsidR="00AB2A4E" w:rsidRDefault="00AB2A4E" w:rsidP="00EA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38006"/>
      <w:docPartObj>
        <w:docPartGallery w:val="Page Numbers (Bottom of Page)"/>
        <w:docPartUnique/>
      </w:docPartObj>
    </w:sdtPr>
    <w:sdtEndPr>
      <w:rPr>
        <w:cs/>
      </w:rPr>
    </w:sdtEndPr>
    <w:sdtContent>
      <w:p w:rsidR="00EA726F" w:rsidRDefault="00EA726F">
        <w:pPr>
          <w:pStyle w:val="a5"/>
          <w:jc w:val="center"/>
          <w:rPr>
            <w:rtl/>
            <w:cs/>
          </w:rPr>
        </w:pPr>
        <w:r>
          <w:fldChar w:fldCharType="begin"/>
        </w:r>
        <w:r>
          <w:rPr>
            <w:rtl/>
            <w:cs/>
          </w:rPr>
          <w:instrText>PAGE   \* MERGEFORMAT</w:instrText>
        </w:r>
        <w:r>
          <w:fldChar w:fldCharType="separate"/>
        </w:r>
        <w:r w:rsidR="00586726" w:rsidRPr="00586726">
          <w:rPr>
            <w:rFonts w:cs="Calibri"/>
            <w:noProof/>
            <w:lang w:val="he-IL"/>
          </w:rPr>
          <w:t>1</w:t>
        </w:r>
        <w:r>
          <w:fldChar w:fldCharType="end"/>
        </w:r>
      </w:p>
    </w:sdtContent>
  </w:sdt>
  <w:p w:rsidR="00EA726F" w:rsidRDefault="00EA72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4E" w:rsidRDefault="00AB2A4E" w:rsidP="00EA726F">
      <w:pPr>
        <w:spacing w:after="0" w:line="240" w:lineRule="auto"/>
      </w:pPr>
      <w:r>
        <w:separator/>
      </w:r>
    </w:p>
  </w:footnote>
  <w:footnote w:type="continuationSeparator" w:id="0">
    <w:p w:rsidR="00AB2A4E" w:rsidRDefault="00AB2A4E" w:rsidP="00EA7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5A"/>
    <w:rsid w:val="0008694C"/>
    <w:rsid w:val="001027A9"/>
    <w:rsid w:val="0054202E"/>
    <w:rsid w:val="00586726"/>
    <w:rsid w:val="00786E50"/>
    <w:rsid w:val="00844BD9"/>
    <w:rsid w:val="008F7B5A"/>
    <w:rsid w:val="00AB2A4E"/>
    <w:rsid w:val="00CA295A"/>
    <w:rsid w:val="00CE635D"/>
    <w:rsid w:val="00D44D82"/>
    <w:rsid w:val="00DE2C3B"/>
    <w:rsid w:val="00EA7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A2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295A"/>
  </w:style>
  <w:style w:type="paragraph" w:styleId="a3">
    <w:name w:val="header"/>
    <w:basedOn w:val="a"/>
    <w:link w:val="a4"/>
    <w:uiPriority w:val="99"/>
    <w:unhideWhenUsed/>
    <w:rsid w:val="00EA726F"/>
    <w:pPr>
      <w:tabs>
        <w:tab w:val="center" w:pos="4153"/>
        <w:tab w:val="right" w:pos="8306"/>
      </w:tabs>
      <w:spacing w:after="0" w:line="240" w:lineRule="auto"/>
    </w:pPr>
  </w:style>
  <w:style w:type="character" w:customStyle="1" w:styleId="a4">
    <w:name w:val="כותרת עליונה תו"/>
    <w:basedOn w:val="a0"/>
    <w:link w:val="a3"/>
    <w:uiPriority w:val="99"/>
    <w:rsid w:val="00EA726F"/>
  </w:style>
  <w:style w:type="paragraph" w:styleId="a5">
    <w:name w:val="footer"/>
    <w:basedOn w:val="a"/>
    <w:link w:val="a6"/>
    <w:uiPriority w:val="99"/>
    <w:unhideWhenUsed/>
    <w:rsid w:val="00EA726F"/>
    <w:pPr>
      <w:tabs>
        <w:tab w:val="center" w:pos="4153"/>
        <w:tab w:val="right" w:pos="8306"/>
      </w:tabs>
      <w:spacing w:after="0" w:line="240" w:lineRule="auto"/>
    </w:pPr>
  </w:style>
  <w:style w:type="character" w:customStyle="1" w:styleId="a6">
    <w:name w:val="כותרת תחתונה תו"/>
    <w:basedOn w:val="a0"/>
    <w:link w:val="a5"/>
    <w:uiPriority w:val="99"/>
    <w:rsid w:val="00EA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A2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295A"/>
  </w:style>
  <w:style w:type="paragraph" w:styleId="a3">
    <w:name w:val="header"/>
    <w:basedOn w:val="a"/>
    <w:link w:val="a4"/>
    <w:uiPriority w:val="99"/>
    <w:unhideWhenUsed/>
    <w:rsid w:val="00EA726F"/>
    <w:pPr>
      <w:tabs>
        <w:tab w:val="center" w:pos="4153"/>
        <w:tab w:val="right" w:pos="8306"/>
      </w:tabs>
      <w:spacing w:after="0" w:line="240" w:lineRule="auto"/>
    </w:pPr>
  </w:style>
  <w:style w:type="character" w:customStyle="1" w:styleId="a4">
    <w:name w:val="כותרת עליונה תו"/>
    <w:basedOn w:val="a0"/>
    <w:link w:val="a3"/>
    <w:uiPriority w:val="99"/>
    <w:rsid w:val="00EA726F"/>
  </w:style>
  <w:style w:type="paragraph" w:styleId="a5">
    <w:name w:val="footer"/>
    <w:basedOn w:val="a"/>
    <w:link w:val="a6"/>
    <w:uiPriority w:val="99"/>
    <w:unhideWhenUsed/>
    <w:rsid w:val="00EA726F"/>
    <w:pPr>
      <w:tabs>
        <w:tab w:val="center" w:pos="4153"/>
        <w:tab w:val="right" w:pos="8306"/>
      </w:tabs>
      <w:spacing w:after="0" w:line="240" w:lineRule="auto"/>
    </w:pPr>
  </w:style>
  <w:style w:type="character" w:customStyle="1" w:styleId="a6">
    <w:name w:val="כותרת תחתונה תו"/>
    <w:basedOn w:val="a0"/>
    <w:link w:val="a5"/>
    <w:uiPriority w:val="99"/>
    <w:rsid w:val="00EA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3074">
      <w:bodyDiv w:val="1"/>
      <w:marLeft w:val="0"/>
      <w:marRight w:val="0"/>
      <w:marTop w:val="0"/>
      <w:marBottom w:val="0"/>
      <w:divBdr>
        <w:top w:val="none" w:sz="0" w:space="0" w:color="auto"/>
        <w:left w:val="none" w:sz="0" w:space="0" w:color="auto"/>
        <w:bottom w:val="none" w:sz="0" w:space="0" w:color="auto"/>
        <w:right w:val="none" w:sz="0" w:space="0" w:color="auto"/>
      </w:divBdr>
      <w:divsChild>
        <w:div w:id="390158277">
          <w:marLeft w:val="0"/>
          <w:marRight w:val="0"/>
          <w:marTop w:val="75"/>
          <w:marBottom w:val="75"/>
          <w:divBdr>
            <w:top w:val="none" w:sz="0" w:space="0" w:color="auto"/>
            <w:left w:val="none" w:sz="0" w:space="0" w:color="auto"/>
            <w:bottom w:val="none" w:sz="0" w:space="0" w:color="auto"/>
            <w:right w:val="none" w:sz="0" w:space="0" w:color="auto"/>
          </w:divBdr>
          <w:divsChild>
            <w:div w:id="1796100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1971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dc:creator>
  <cp:lastModifiedBy>נורית</cp:lastModifiedBy>
  <cp:revision>3</cp:revision>
  <dcterms:created xsi:type="dcterms:W3CDTF">2021-09-26T06:35:00Z</dcterms:created>
  <dcterms:modified xsi:type="dcterms:W3CDTF">2022-07-31T18:06:00Z</dcterms:modified>
</cp:coreProperties>
</file>