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2" w:rsidRPr="00746084" w:rsidRDefault="00A56BB2" w:rsidP="00A56BB2">
      <w:pPr>
        <w:tabs>
          <w:tab w:val="left" w:pos="5896"/>
        </w:tabs>
        <w:rPr>
          <w:rFonts w:eastAsia="Times New Roman" w:cs="David"/>
          <w:sz w:val="22"/>
          <w:szCs w:val="22"/>
          <w:rtl/>
          <w:lang w:eastAsia="en-US"/>
        </w:rPr>
      </w:pPr>
      <w:r w:rsidRPr="00746084">
        <w:rPr>
          <w:rFonts w:eastAsia="Times New Roman" w:cs="David" w:hint="cs"/>
          <w:sz w:val="22"/>
          <w:szCs w:val="22"/>
          <w:rtl/>
          <w:lang w:eastAsia="en-US"/>
        </w:rPr>
        <w:t>המכון הישראלי לפסיכואנליזה</w:t>
      </w:r>
      <w:r w:rsidRPr="00746084">
        <w:rPr>
          <w:rFonts w:eastAsia="Times New Roman" w:cs="David" w:hint="cs"/>
          <w:sz w:val="22"/>
          <w:szCs w:val="22"/>
          <w:rtl/>
          <w:lang w:eastAsia="en-US"/>
        </w:rPr>
        <w:tab/>
        <w:t>איתמר לוריא</w:t>
      </w:r>
    </w:p>
    <w:p w:rsidR="00A56BB2" w:rsidRPr="00746084" w:rsidRDefault="0091588C" w:rsidP="00A56BB2">
      <w:pPr>
        <w:tabs>
          <w:tab w:val="left" w:pos="5896"/>
        </w:tabs>
        <w:rPr>
          <w:sz w:val="22"/>
          <w:szCs w:val="22"/>
          <w:rtl/>
        </w:rPr>
      </w:pPr>
      <w:r>
        <w:rPr>
          <w:rFonts w:eastAsia="Times New Roman" w:cs="David" w:hint="cs"/>
          <w:sz w:val="22"/>
          <w:szCs w:val="22"/>
          <w:rtl/>
          <w:lang w:eastAsia="en-US"/>
        </w:rPr>
        <w:t xml:space="preserve">2022-2021 </w:t>
      </w:r>
      <w:r w:rsidR="00A56BB2" w:rsidRPr="00746084">
        <w:rPr>
          <w:rFonts w:eastAsia="Times New Roman" w:cs="David" w:hint="cs"/>
          <w:sz w:val="22"/>
          <w:szCs w:val="22"/>
          <w:rtl/>
          <w:lang w:eastAsia="en-US"/>
        </w:rPr>
        <w:t>סמסטר ב</w:t>
      </w:r>
      <w:r w:rsidR="00A56BB2"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ab/>
      </w:r>
      <w:r w:rsidR="00A56BB2" w:rsidRPr="00746084">
        <w:rPr>
          <w:rFonts w:hint="cs"/>
          <w:sz w:val="22"/>
          <w:szCs w:val="22"/>
          <w:rtl/>
        </w:rPr>
        <w:t>טל: 0505672782</w:t>
      </w:r>
    </w:p>
    <w:p w:rsidR="00A56BB2" w:rsidRPr="00746084" w:rsidRDefault="00A56BB2" w:rsidP="00A56BB2">
      <w:pPr>
        <w:tabs>
          <w:tab w:val="left" w:pos="5896"/>
        </w:tabs>
        <w:rPr>
          <w:sz w:val="22"/>
          <w:szCs w:val="22"/>
        </w:rPr>
      </w:pP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 xml:space="preserve">    </w:t>
      </w: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ab/>
      </w:r>
      <w:r w:rsidRPr="00746084">
        <w:rPr>
          <w:sz w:val="22"/>
          <w:szCs w:val="22"/>
        </w:rPr>
        <w:t>itamar.lurie@gmail.com</w:t>
      </w:r>
    </w:p>
    <w:p w:rsidR="00A56BB2" w:rsidRPr="00567A23" w:rsidRDefault="00A56BB2" w:rsidP="00A56BB2">
      <w:pPr>
        <w:rPr>
          <w:rFonts w:eastAsia="Times New Roman" w:cs="David"/>
          <w:b/>
          <w:bCs/>
          <w:sz w:val="22"/>
          <w:szCs w:val="22"/>
          <w:rtl/>
          <w:lang w:eastAsia="en-US"/>
        </w:rPr>
      </w:pPr>
    </w:p>
    <w:p w:rsidR="00A56BB2" w:rsidRPr="00746084" w:rsidRDefault="00A56BB2" w:rsidP="00A56BB2">
      <w:pPr>
        <w:spacing w:line="360" w:lineRule="auto"/>
        <w:jc w:val="center"/>
        <w:rPr>
          <w:rFonts w:eastAsia="Times New Roman" w:cs="David"/>
          <w:b/>
          <w:bCs/>
          <w:sz w:val="22"/>
          <w:szCs w:val="22"/>
          <w:rtl/>
          <w:lang w:eastAsia="en-US"/>
        </w:rPr>
      </w:pP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>מאמרים טכניים קליניים של פרויד</w:t>
      </w:r>
    </w:p>
    <w:p w:rsidR="003A397F" w:rsidRDefault="00A56BB2" w:rsidP="003A397F">
      <w:pPr>
        <w:jc w:val="center"/>
        <w:rPr>
          <w:rFonts w:eastAsia="Times New Roman" w:cs="David"/>
          <w:sz w:val="22"/>
          <w:szCs w:val="22"/>
          <w:rtl/>
          <w:lang w:eastAsia="en-US"/>
        </w:rPr>
      </w:pPr>
      <w:r w:rsidRPr="00746084">
        <w:rPr>
          <w:rFonts w:eastAsia="Times New Roman" w:cs="David" w:hint="cs"/>
          <w:sz w:val="22"/>
          <w:szCs w:val="22"/>
          <w:rtl/>
          <w:lang w:eastAsia="en-US"/>
        </w:rPr>
        <w:t>ד"ר איתמר לוריא</w:t>
      </w:r>
    </w:p>
    <w:p w:rsidR="00A56BB2" w:rsidRDefault="00A56BB2" w:rsidP="005D43B1">
      <w:pPr>
        <w:jc w:val="center"/>
        <w:rPr>
          <w:rFonts w:eastAsia="Times New Roman" w:cs="David"/>
          <w:sz w:val="22"/>
          <w:szCs w:val="22"/>
          <w:rtl/>
          <w:lang w:eastAsia="en-US"/>
        </w:rPr>
      </w:pPr>
    </w:p>
    <w:p w:rsidR="005D43B1" w:rsidRPr="00746084" w:rsidRDefault="005D43B1" w:rsidP="005D43B1">
      <w:pPr>
        <w:jc w:val="center"/>
        <w:rPr>
          <w:sz w:val="22"/>
          <w:szCs w:val="22"/>
          <w:rtl/>
        </w:rPr>
      </w:pPr>
    </w:p>
    <w:p w:rsidR="00236F54" w:rsidRPr="00746084" w:rsidRDefault="00256B92" w:rsidP="00256B92">
      <w:pPr>
        <w:spacing w:line="276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סמינר</w:t>
      </w:r>
      <w:r w:rsidR="00B0747D" w:rsidRPr="00746084">
        <w:rPr>
          <w:rFonts w:cs="David" w:hint="cs"/>
          <w:sz w:val="22"/>
          <w:szCs w:val="22"/>
          <w:rtl/>
        </w:rPr>
        <w:t xml:space="preserve"> זה מתמקד במאמרים </w:t>
      </w:r>
      <w:r w:rsidR="003D074B" w:rsidRPr="00746084">
        <w:rPr>
          <w:rFonts w:cs="David" w:hint="cs"/>
          <w:sz w:val="22"/>
          <w:szCs w:val="22"/>
          <w:rtl/>
        </w:rPr>
        <w:t xml:space="preserve">של פרויד </w:t>
      </w:r>
      <w:r w:rsidR="00B0747D" w:rsidRPr="00746084">
        <w:rPr>
          <w:rFonts w:cs="David" w:hint="cs"/>
          <w:sz w:val="22"/>
          <w:szCs w:val="22"/>
          <w:rtl/>
        </w:rPr>
        <w:t>העוסקים בסוגיות טכניות בטיפול הפסיכואנליטי</w:t>
      </w:r>
      <w:r w:rsidR="003D074B" w:rsidRPr="00746084">
        <w:rPr>
          <w:rFonts w:cs="David" w:hint="cs"/>
          <w:sz w:val="22"/>
          <w:szCs w:val="22"/>
          <w:rtl/>
        </w:rPr>
        <w:t>.</w:t>
      </w:r>
      <w:r w:rsidR="00F345C9" w:rsidRPr="00746084">
        <w:rPr>
          <w:rFonts w:cs="David" w:hint="cs"/>
          <w:sz w:val="22"/>
          <w:szCs w:val="22"/>
          <w:rtl/>
        </w:rPr>
        <w:t xml:space="preserve">  מטרת </w:t>
      </w:r>
      <w:r>
        <w:rPr>
          <w:rFonts w:cs="David" w:hint="cs"/>
          <w:sz w:val="22"/>
          <w:szCs w:val="22"/>
          <w:rtl/>
        </w:rPr>
        <w:t>הסמינר</w:t>
      </w:r>
      <w:r w:rsidR="00F345C9" w:rsidRPr="00746084">
        <w:rPr>
          <w:rFonts w:cs="David" w:hint="cs"/>
          <w:sz w:val="22"/>
          <w:szCs w:val="22"/>
          <w:rtl/>
        </w:rPr>
        <w:t xml:space="preserve"> ליצור דיאלוג עכשווי ורלוונטי בין מחשבותיו של פרויד לבין הפרקטיקה הפסיכואנליטית של המשתתפים </w:t>
      </w:r>
      <w:r>
        <w:rPr>
          <w:rFonts w:cs="David" w:hint="cs"/>
          <w:sz w:val="22"/>
          <w:szCs w:val="22"/>
          <w:rtl/>
        </w:rPr>
        <w:t>בסמינר</w:t>
      </w:r>
      <w:r w:rsidR="00F345C9" w:rsidRPr="00746084">
        <w:rPr>
          <w:rFonts w:cs="David" w:hint="cs"/>
          <w:sz w:val="22"/>
          <w:szCs w:val="22"/>
          <w:rtl/>
        </w:rPr>
        <w:t xml:space="preserve">.  במסגרת </w:t>
      </w:r>
      <w:r>
        <w:rPr>
          <w:rFonts w:cs="David" w:hint="cs"/>
          <w:sz w:val="22"/>
          <w:szCs w:val="22"/>
          <w:rtl/>
        </w:rPr>
        <w:t>הסמינר</w:t>
      </w:r>
      <w:r w:rsidR="00F345C9" w:rsidRPr="00746084">
        <w:rPr>
          <w:rFonts w:cs="David" w:hint="cs"/>
          <w:sz w:val="22"/>
          <w:szCs w:val="22"/>
          <w:rtl/>
        </w:rPr>
        <w:t xml:space="preserve"> נקרא בעיקר את המאמרים המופיעים בקובץ </w:t>
      </w:r>
      <w:r w:rsidR="00F345C9" w:rsidRPr="00746084">
        <w:rPr>
          <w:rFonts w:cs="David" w:hint="cs"/>
          <w:sz w:val="22"/>
          <w:szCs w:val="22"/>
          <w:u w:val="single"/>
          <w:rtl/>
        </w:rPr>
        <w:t>הטיפול הפסיכואנליטי</w:t>
      </w:r>
      <w:r w:rsidR="00F345C9" w:rsidRPr="00746084">
        <w:rPr>
          <w:rFonts w:cs="David" w:hint="cs"/>
          <w:sz w:val="22"/>
          <w:szCs w:val="22"/>
          <w:rtl/>
        </w:rPr>
        <w:t>,  בע</w:t>
      </w:r>
      <w:r w:rsidR="00B00DBE">
        <w:rPr>
          <w:rFonts w:cs="David" w:hint="cs"/>
          <w:sz w:val="22"/>
          <w:szCs w:val="22"/>
          <w:rtl/>
        </w:rPr>
        <w:t>ריכת עמנואל ברמן, עם עובד 2002,</w:t>
      </w:r>
      <w:r w:rsidR="00AE0D71">
        <w:rPr>
          <w:rFonts w:cs="David" w:hint="cs"/>
          <w:sz w:val="22"/>
          <w:szCs w:val="22"/>
          <w:rtl/>
        </w:rPr>
        <w:t xml:space="preserve"> ונתייחס לשלושה</w:t>
      </w:r>
      <w:r w:rsidR="00D37AC2">
        <w:rPr>
          <w:rFonts w:cs="David" w:hint="cs"/>
          <w:sz w:val="22"/>
          <w:szCs w:val="22"/>
          <w:rtl/>
        </w:rPr>
        <w:t xml:space="preserve"> </w:t>
      </w:r>
      <w:proofErr w:type="spellStart"/>
      <w:r w:rsidR="00D37AC2">
        <w:rPr>
          <w:rFonts w:cs="David" w:hint="cs"/>
          <w:sz w:val="22"/>
          <w:szCs w:val="22"/>
          <w:rtl/>
        </w:rPr>
        <w:t>תאורי</w:t>
      </w:r>
      <w:proofErr w:type="spellEnd"/>
      <w:r w:rsidR="00D37AC2">
        <w:rPr>
          <w:rFonts w:cs="David" w:hint="cs"/>
          <w:sz w:val="22"/>
          <w:szCs w:val="22"/>
          <w:rtl/>
        </w:rPr>
        <w:t xml:space="preserve"> מיקרה</w:t>
      </w:r>
      <w:r w:rsidR="00B00DBE">
        <w:rPr>
          <w:rFonts w:cs="David" w:hint="cs"/>
          <w:sz w:val="22"/>
          <w:szCs w:val="22"/>
          <w:rtl/>
        </w:rPr>
        <w:t xml:space="preserve"> של פרויד. </w:t>
      </w:r>
      <w:r w:rsidR="00F345C9" w:rsidRPr="00746084">
        <w:rPr>
          <w:rFonts w:cs="David" w:hint="cs"/>
          <w:sz w:val="22"/>
          <w:szCs w:val="22"/>
          <w:rtl/>
        </w:rPr>
        <w:t xml:space="preserve"> אני ממליץ לקרוא הן את ההקדמה הדחו</w:t>
      </w:r>
      <w:bookmarkStart w:id="0" w:name="_GoBack"/>
      <w:bookmarkEnd w:id="0"/>
      <w:r w:rsidR="00F345C9" w:rsidRPr="00746084">
        <w:rPr>
          <w:rFonts w:cs="David" w:hint="cs"/>
          <w:sz w:val="22"/>
          <w:szCs w:val="22"/>
          <w:rtl/>
        </w:rPr>
        <w:t>סה של עמנואל ברמן ("המסע הארוך") ו</w:t>
      </w:r>
      <w:r w:rsidR="00C27DFD" w:rsidRPr="00746084">
        <w:rPr>
          <w:rFonts w:cs="David" w:hint="cs"/>
          <w:sz w:val="22"/>
          <w:szCs w:val="22"/>
          <w:rtl/>
        </w:rPr>
        <w:t>הן את מאמרו של</w:t>
      </w:r>
      <w:r w:rsidR="00F345C9" w:rsidRPr="00746084">
        <w:rPr>
          <w:rFonts w:cs="David" w:hint="cs"/>
          <w:sz w:val="22"/>
          <w:szCs w:val="22"/>
          <w:rtl/>
        </w:rPr>
        <w:t xml:space="preserve"> המתרגם- ערן רולניק</w:t>
      </w:r>
      <w:r w:rsidR="00C27DFD" w:rsidRPr="00746084">
        <w:rPr>
          <w:rFonts w:cs="David" w:hint="cs"/>
          <w:sz w:val="22"/>
          <w:szCs w:val="22"/>
          <w:rtl/>
        </w:rPr>
        <w:t xml:space="preserve"> ("בין טכניקה לאתיקה...")</w:t>
      </w:r>
      <w:r w:rsidR="00F345C9" w:rsidRPr="00746084">
        <w:rPr>
          <w:rFonts w:cs="David" w:hint="cs"/>
          <w:sz w:val="22"/>
          <w:szCs w:val="22"/>
          <w:rtl/>
        </w:rPr>
        <w:t xml:space="preserve"> כחומר רקע </w:t>
      </w:r>
      <w:r>
        <w:rPr>
          <w:rFonts w:cs="David" w:hint="cs"/>
          <w:sz w:val="22"/>
          <w:szCs w:val="22"/>
          <w:rtl/>
        </w:rPr>
        <w:t>לסמינר</w:t>
      </w:r>
      <w:r w:rsidR="00F345C9" w:rsidRPr="00746084">
        <w:rPr>
          <w:rFonts w:cs="David" w:hint="cs"/>
          <w:sz w:val="22"/>
          <w:szCs w:val="22"/>
          <w:rtl/>
        </w:rPr>
        <w:t>.</w:t>
      </w:r>
    </w:p>
    <w:p w:rsidR="00F345C9" w:rsidRPr="00746084" w:rsidRDefault="00F345C9" w:rsidP="00A56BB2">
      <w:pPr>
        <w:spacing w:line="276" w:lineRule="auto"/>
        <w:rPr>
          <w:rFonts w:cs="David"/>
          <w:sz w:val="22"/>
          <w:szCs w:val="22"/>
          <w:rtl/>
        </w:rPr>
      </w:pPr>
    </w:p>
    <w:p w:rsidR="00D4178D" w:rsidRPr="00746084" w:rsidRDefault="00D4178D" w:rsidP="00A56BB2">
      <w:pPr>
        <w:spacing w:line="276" w:lineRule="auto"/>
        <w:rPr>
          <w:rFonts w:cs="David"/>
          <w:sz w:val="22"/>
          <w:szCs w:val="22"/>
          <w:rtl/>
        </w:rPr>
      </w:pPr>
    </w:p>
    <w:p w:rsidR="00B00DBE" w:rsidRDefault="003A397F" w:rsidP="00F5024D">
      <w:pPr>
        <w:spacing w:line="276" w:lineRule="auto"/>
        <w:ind w:left="651" w:hanging="651"/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1. </w:t>
      </w:r>
      <w:r w:rsidR="00BF79D8">
        <w:rPr>
          <w:rFonts w:cs="David" w:hint="cs"/>
          <w:sz w:val="22"/>
          <w:szCs w:val="22"/>
          <w:rtl/>
        </w:rPr>
        <w:t xml:space="preserve">    </w:t>
      </w:r>
      <w:r w:rsidR="00F5024D">
        <w:rPr>
          <w:rFonts w:cs="David" w:hint="cs"/>
          <w:sz w:val="22"/>
          <w:szCs w:val="22"/>
          <w:rtl/>
        </w:rPr>
        <w:tab/>
      </w:r>
      <w:r w:rsidR="00D4178D" w:rsidRPr="00746084">
        <w:rPr>
          <w:rFonts w:cs="David" w:hint="cs"/>
          <w:sz w:val="22"/>
          <w:szCs w:val="22"/>
          <w:rtl/>
        </w:rPr>
        <w:t xml:space="preserve">בשיעור הראשון נדון </w:t>
      </w:r>
      <w:r w:rsidR="00B00DBE">
        <w:rPr>
          <w:rFonts w:cs="David" w:hint="cs"/>
          <w:sz w:val="22"/>
          <w:szCs w:val="22"/>
          <w:rtl/>
        </w:rPr>
        <w:t>ב "</w:t>
      </w:r>
      <w:proofErr w:type="spellStart"/>
      <w:r w:rsidR="00B00DBE">
        <w:rPr>
          <w:rFonts w:cs="David" w:hint="cs"/>
          <w:sz w:val="22"/>
          <w:szCs w:val="22"/>
          <w:rtl/>
        </w:rPr>
        <w:t>קתרינה</w:t>
      </w:r>
      <w:proofErr w:type="spellEnd"/>
      <w:r w:rsidR="00B00DBE">
        <w:rPr>
          <w:rFonts w:cs="David" w:hint="cs"/>
          <w:sz w:val="22"/>
          <w:szCs w:val="22"/>
          <w:rtl/>
        </w:rPr>
        <w:t xml:space="preserve">", </w:t>
      </w:r>
      <w:r w:rsidR="00B00DBE" w:rsidRPr="00B00DBE">
        <w:rPr>
          <w:rFonts w:cs="David" w:hint="cs"/>
          <w:sz w:val="22"/>
          <w:szCs w:val="22"/>
          <w:rtl/>
        </w:rPr>
        <w:t xml:space="preserve"> </w:t>
      </w:r>
      <w:r w:rsidR="00B00DBE">
        <w:rPr>
          <w:rFonts w:cs="David" w:hint="cs"/>
          <w:sz w:val="22"/>
          <w:szCs w:val="22"/>
          <w:rtl/>
        </w:rPr>
        <w:t>פרויד (</w:t>
      </w:r>
      <w:r w:rsidR="00D37AC2">
        <w:rPr>
          <w:rFonts w:cs="David" w:hint="cs"/>
          <w:sz w:val="22"/>
          <w:szCs w:val="22"/>
          <w:rtl/>
        </w:rPr>
        <w:t>18</w:t>
      </w:r>
      <w:r w:rsidR="00B00DBE">
        <w:rPr>
          <w:rFonts w:cs="David" w:hint="cs"/>
          <w:sz w:val="22"/>
          <w:szCs w:val="22"/>
          <w:rtl/>
        </w:rPr>
        <w:t>95-</w:t>
      </w:r>
      <w:r w:rsidR="00B00DBE" w:rsidRPr="00746084">
        <w:rPr>
          <w:rFonts w:cs="David" w:hint="cs"/>
          <w:sz w:val="22"/>
          <w:szCs w:val="22"/>
          <w:rtl/>
        </w:rPr>
        <w:t>189</w:t>
      </w:r>
      <w:r w:rsidR="00B00DBE">
        <w:rPr>
          <w:rFonts w:cs="David" w:hint="cs"/>
          <w:sz w:val="22"/>
          <w:szCs w:val="22"/>
          <w:rtl/>
        </w:rPr>
        <w:t>3</w:t>
      </w:r>
      <w:r w:rsidR="00C27DFD" w:rsidRPr="00746084">
        <w:rPr>
          <w:rFonts w:cs="David" w:hint="cs"/>
          <w:sz w:val="22"/>
          <w:szCs w:val="22"/>
          <w:rtl/>
        </w:rPr>
        <w:t>)</w:t>
      </w:r>
      <w:r w:rsidR="00BF79D8">
        <w:rPr>
          <w:rFonts w:cs="David" w:hint="cs"/>
          <w:sz w:val="22"/>
          <w:szCs w:val="22"/>
          <w:rtl/>
        </w:rPr>
        <w:t xml:space="preserve"> </w:t>
      </w:r>
      <w:r w:rsidR="00BF79D8">
        <w:rPr>
          <w:rFonts w:cs="David" w:hint="cs"/>
          <w:sz w:val="22"/>
          <w:szCs w:val="22"/>
          <w:u w:val="single"/>
          <w:rtl/>
        </w:rPr>
        <w:t>מחקרים בהיסטריה</w:t>
      </w:r>
      <w:r w:rsidR="00BF79D8">
        <w:rPr>
          <w:rFonts w:cs="David" w:hint="cs"/>
          <w:sz w:val="22"/>
          <w:szCs w:val="22"/>
          <w:rtl/>
        </w:rPr>
        <w:t xml:space="preserve">, </w:t>
      </w:r>
      <w:proofErr w:type="spellStart"/>
      <w:r w:rsidR="00BF79D8">
        <w:rPr>
          <w:rFonts w:cs="David" w:hint="cs"/>
          <w:sz w:val="22"/>
          <w:szCs w:val="22"/>
          <w:rtl/>
        </w:rPr>
        <w:t>קוגיטו</w:t>
      </w:r>
      <w:proofErr w:type="spellEnd"/>
      <w:r w:rsidR="00BF79D8">
        <w:rPr>
          <w:rFonts w:cs="David" w:hint="cs"/>
          <w:sz w:val="22"/>
          <w:szCs w:val="22"/>
          <w:rtl/>
        </w:rPr>
        <w:t>, 2004</w:t>
      </w:r>
      <w:r w:rsidR="003953EF" w:rsidRPr="00746084">
        <w:rPr>
          <w:rFonts w:cs="David" w:hint="cs"/>
          <w:sz w:val="22"/>
          <w:szCs w:val="22"/>
          <w:rtl/>
        </w:rPr>
        <w:t>.</w:t>
      </w:r>
    </w:p>
    <w:p w:rsidR="00C27DFD" w:rsidRPr="00746084" w:rsidRDefault="00B00DBE" w:rsidP="00F5024D">
      <w:pPr>
        <w:spacing w:line="276" w:lineRule="auto"/>
        <w:ind w:left="651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159-169, </w:t>
      </w:r>
      <w:proofErr w:type="spellStart"/>
      <w:r>
        <w:rPr>
          <w:rFonts w:cs="David" w:hint="cs"/>
          <w:sz w:val="22"/>
          <w:szCs w:val="22"/>
          <w:rtl/>
        </w:rPr>
        <w:t>וב"גילוי</w:t>
      </w:r>
      <w:proofErr w:type="spellEnd"/>
      <w:r>
        <w:rPr>
          <w:rFonts w:cs="David" w:hint="cs"/>
          <w:sz w:val="22"/>
          <w:szCs w:val="22"/>
          <w:rtl/>
        </w:rPr>
        <w:t xml:space="preserve"> וכיסוי בלשון" של ביאליק (1915).  ממליץ לקרוא גם את פרק 3 מתוך "הפסיכותרפיה </w:t>
      </w:r>
      <w:r w:rsidR="00D37AC2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של ההיסטריה" החותם את </w:t>
      </w:r>
      <w:r w:rsidRPr="00B00DBE">
        <w:rPr>
          <w:rFonts w:cs="David" w:hint="cs"/>
          <w:sz w:val="22"/>
          <w:szCs w:val="22"/>
          <w:u w:val="single"/>
          <w:rtl/>
        </w:rPr>
        <w:t>מחקרים בהיסטריה</w:t>
      </w:r>
      <w:r>
        <w:rPr>
          <w:rFonts w:cs="David" w:hint="cs"/>
          <w:sz w:val="22"/>
          <w:szCs w:val="22"/>
          <w:rtl/>
        </w:rPr>
        <w:t>.</w:t>
      </w:r>
    </w:p>
    <w:p w:rsidR="003953EF" w:rsidRPr="00746084" w:rsidRDefault="003953EF" w:rsidP="001F7955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</w:t>
      </w:r>
    </w:p>
    <w:p w:rsidR="003953EF" w:rsidRPr="00746084" w:rsidRDefault="003953EF" w:rsidP="00F345C9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2.          (1911) השימוש בפירוש חלומות בפסיכואנליזה. </w:t>
      </w:r>
      <w:r w:rsidR="00BF79D8" w:rsidRPr="00746084">
        <w:rPr>
          <w:rFonts w:cs="David" w:hint="cs"/>
          <w:sz w:val="22"/>
          <w:szCs w:val="22"/>
          <w:u w:val="single"/>
          <w:rtl/>
        </w:rPr>
        <w:t>הטיפול הפסיכואנליטי</w:t>
      </w:r>
      <w:r w:rsidR="00BF79D8" w:rsidRPr="00746084">
        <w:rPr>
          <w:rFonts w:cs="David" w:hint="cs"/>
          <w:sz w:val="22"/>
          <w:szCs w:val="22"/>
          <w:rtl/>
        </w:rPr>
        <w:t xml:space="preserve"> </w:t>
      </w:r>
      <w:r w:rsidRPr="00746084">
        <w:rPr>
          <w:rFonts w:cs="David" w:hint="cs"/>
          <w:sz w:val="22"/>
          <w:szCs w:val="22"/>
          <w:rtl/>
        </w:rPr>
        <w:t>(81-84)</w:t>
      </w:r>
    </w:p>
    <w:p w:rsidR="003953EF" w:rsidRPr="00746084" w:rsidRDefault="003953EF" w:rsidP="00F345C9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(1923) הערות על הלכה ומעשה בפירוש חלומות. (139-148).</w:t>
      </w:r>
    </w:p>
    <w:p w:rsidR="003953EF" w:rsidRPr="00746084" w:rsidRDefault="003953EF" w:rsidP="00F345C9">
      <w:pPr>
        <w:rPr>
          <w:sz w:val="22"/>
          <w:szCs w:val="22"/>
          <w:rtl/>
        </w:rPr>
      </w:pPr>
    </w:p>
    <w:p w:rsidR="001F7955" w:rsidRPr="00746084" w:rsidRDefault="003953EF" w:rsidP="007C6BE7">
      <w:pPr>
        <w:rPr>
          <w:sz w:val="22"/>
          <w:szCs w:val="22"/>
        </w:rPr>
      </w:pPr>
      <w:r w:rsidRPr="00746084">
        <w:rPr>
          <w:rFonts w:hint="cs"/>
          <w:sz w:val="22"/>
          <w:szCs w:val="22"/>
          <w:rtl/>
        </w:rPr>
        <w:t xml:space="preserve">3.         </w:t>
      </w:r>
      <w:proofErr w:type="gramStart"/>
      <w:r w:rsidR="007C6BE7" w:rsidRPr="00746084">
        <w:rPr>
          <w:sz w:val="22"/>
          <w:szCs w:val="22"/>
        </w:rPr>
        <w:t>On wild analysis.</w:t>
      </w:r>
      <w:proofErr w:type="gramEnd"/>
      <w:r w:rsidR="001F7955" w:rsidRPr="00746084">
        <w:rPr>
          <w:sz w:val="22"/>
          <w:szCs w:val="22"/>
        </w:rPr>
        <w:t xml:space="preserve"> SE, Vol. XI, 219-228</w:t>
      </w:r>
      <w:r w:rsidR="007C6BE7" w:rsidRPr="00746084">
        <w:rPr>
          <w:sz w:val="22"/>
          <w:szCs w:val="22"/>
        </w:rPr>
        <w:t xml:space="preserve"> (1910)</w:t>
      </w:r>
    </w:p>
    <w:p w:rsidR="003953EF" w:rsidRPr="00746084" w:rsidRDefault="001F7955" w:rsidP="001F7955">
      <w:pPr>
        <w:rPr>
          <w:rFonts w:cs="David"/>
          <w:sz w:val="22"/>
          <w:szCs w:val="22"/>
          <w:rtl/>
        </w:rPr>
      </w:pPr>
      <w:r w:rsidRPr="00746084">
        <w:rPr>
          <w:rFonts w:cs="David"/>
          <w:sz w:val="22"/>
          <w:szCs w:val="22"/>
        </w:rPr>
        <w:t xml:space="preserve">     </w:t>
      </w:r>
      <w:r w:rsidRPr="00746084">
        <w:rPr>
          <w:rFonts w:cs="David" w:hint="cs"/>
          <w:sz w:val="22"/>
          <w:szCs w:val="22"/>
          <w:rtl/>
        </w:rPr>
        <w:t xml:space="preserve">       (1910) סיכוייה לעתיד של התרפיה הפסיכואנליטית. (שם, 73-80).</w:t>
      </w:r>
    </w:p>
    <w:p w:rsidR="003953EF" w:rsidRPr="00746084" w:rsidRDefault="003953EF" w:rsidP="00F345C9">
      <w:pPr>
        <w:rPr>
          <w:sz w:val="22"/>
          <w:szCs w:val="22"/>
          <w:rtl/>
        </w:rPr>
      </w:pPr>
    </w:p>
    <w:p w:rsidR="003953EF" w:rsidRPr="00746084" w:rsidRDefault="003953EF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4</w:t>
      </w:r>
      <w:r w:rsidR="007C6BE7" w:rsidRPr="00746084">
        <w:rPr>
          <w:rFonts w:cs="David" w:hint="cs"/>
          <w:sz w:val="22"/>
          <w:szCs w:val="22"/>
          <w:rtl/>
        </w:rPr>
        <w:t>.          (1912) על הדינמיקה של ההעברה. (85-91).</w:t>
      </w:r>
    </w:p>
    <w:p w:rsidR="007C6BE7" w:rsidRPr="00746084" w:rsidRDefault="007C6BE7" w:rsidP="007C6BE7">
      <w:pPr>
        <w:rPr>
          <w:rFonts w:cs="David"/>
          <w:sz w:val="22"/>
          <w:szCs w:val="22"/>
          <w:rtl/>
        </w:rPr>
      </w:pPr>
    </w:p>
    <w:p w:rsidR="007C6BE7" w:rsidRPr="00746084" w:rsidRDefault="007C6BE7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5.          (1915) הערות על אהבת-העברה. (120-128).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6.          (1912) עצות לרופא על הטיפול הפסיכואנליטי. (92-99).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(1913) על פתיחת הטיפול. (99-113).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7.          (1914) היזכרות, חזרה ועיבוד. (114-119).</w:t>
      </w:r>
    </w:p>
    <w:p w:rsidR="00120ED2" w:rsidRPr="00765E58" w:rsidRDefault="00765E58" w:rsidP="00F5024D">
      <w:pPr>
        <w:ind w:left="651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(1920) "על הפסיכו גנזה של מקרה הומוסקסואליות נשית", ב</w:t>
      </w:r>
      <w:r>
        <w:rPr>
          <w:rFonts w:cs="David" w:hint="cs"/>
          <w:sz w:val="22"/>
          <w:szCs w:val="22"/>
          <w:u w:val="single"/>
          <w:rtl/>
        </w:rPr>
        <w:t>מיניות ואהבה</w:t>
      </w:r>
      <w:r>
        <w:rPr>
          <w:rFonts w:cs="David" w:hint="cs"/>
          <w:sz w:val="22"/>
          <w:szCs w:val="22"/>
          <w:rtl/>
        </w:rPr>
        <w:t>, עם עובד, 2005., 164-182</w:t>
      </w:r>
      <w:r w:rsidR="00F5024D">
        <w:rPr>
          <w:rFonts w:cs="David" w:hint="cs"/>
          <w:sz w:val="22"/>
          <w:szCs w:val="22"/>
          <w:rtl/>
        </w:rPr>
        <w:t>.</w:t>
      </w: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8.          (1919) </w:t>
      </w:r>
      <w:r w:rsidR="00C3538F" w:rsidRPr="00746084">
        <w:rPr>
          <w:rFonts w:cs="David" w:hint="cs"/>
          <w:sz w:val="22"/>
          <w:szCs w:val="22"/>
          <w:rtl/>
        </w:rPr>
        <w:t>דרכיה של התרפיה הפסיכואנליטית. (129-135).</w:t>
      </w:r>
    </w:p>
    <w:p w:rsidR="00F345C9" w:rsidRPr="00746084" w:rsidRDefault="00C3538F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(1938) תקציר הפסיכואנליזה: הטכניקה הפסיכואנליטית. (237-243).</w:t>
      </w:r>
    </w:p>
    <w:p w:rsidR="00765E58" w:rsidRDefault="00765E58" w:rsidP="00B00DBE">
      <w:pPr>
        <w:rPr>
          <w:rFonts w:cs="David"/>
          <w:sz w:val="22"/>
          <w:szCs w:val="22"/>
          <w:rtl/>
        </w:rPr>
      </w:pPr>
    </w:p>
    <w:p w:rsidR="00746084" w:rsidRPr="00746084" w:rsidRDefault="00C3538F" w:rsidP="00B00DBE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9.          </w:t>
      </w:r>
      <w:r w:rsidR="00746084" w:rsidRPr="00746084">
        <w:rPr>
          <w:rFonts w:cs="David" w:hint="cs"/>
          <w:sz w:val="22"/>
          <w:szCs w:val="22"/>
          <w:rtl/>
        </w:rPr>
        <w:t xml:space="preserve"> איש הע</w:t>
      </w:r>
      <w:r w:rsidR="00B00DBE">
        <w:rPr>
          <w:rFonts w:cs="David" w:hint="cs"/>
          <w:sz w:val="22"/>
          <w:szCs w:val="22"/>
          <w:rtl/>
        </w:rPr>
        <w:t xml:space="preserve">כברושים (1909), </w:t>
      </w:r>
      <w:proofErr w:type="spellStart"/>
      <w:r w:rsidR="00B00DBE">
        <w:rPr>
          <w:rFonts w:cs="David" w:hint="cs"/>
          <w:sz w:val="22"/>
          <w:szCs w:val="22"/>
          <w:rtl/>
        </w:rPr>
        <w:t>קוגיטו</w:t>
      </w:r>
      <w:proofErr w:type="spellEnd"/>
      <w:r w:rsidR="00B00DBE">
        <w:rPr>
          <w:rFonts w:cs="David" w:hint="cs"/>
          <w:sz w:val="22"/>
          <w:szCs w:val="22"/>
          <w:rtl/>
        </w:rPr>
        <w:t xml:space="preserve"> 2004. (31</w:t>
      </w:r>
      <w:r w:rsidR="00746084" w:rsidRPr="00746084">
        <w:rPr>
          <w:rFonts w:cs="David" w:hint="cs"/>
          <w:sz w:val="22"/>
          <w:szCs w:val="22"/>
          <w:rtl/>
        </w:rPr>
        <w:t>-88)</w:t>
      </w:r>
    </w:p>
    <w:p w:rsidR="00746084" w:rsidRPr="00746084" w:rsidRDefault="00746084" w:rsidP="00A56BB2">
      <w:pPr>
        <w:rPr>
          <w:rFonts w:cs="David"/>
          <w:sz w:val="22"/>
          <w:szCs w:val="22"/>
          <w:rtl/>
        </w:rPr>
      </w:pPr>
    </w:p>
    <w:p w:rsidR="00C3538F" w:rsidRPr="00746084" w:rsidRDefault="00C3538F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10.        (1937) הבניות באנליזה.</w:t>
      </w:r>
      <w:r w:rsidR="00F77100" w:rsidRPr="00746084">
        <w:rPr>
          <w:rFonts w:cs="David" w:hint="cs"/>
          <w:sz w:val="22"/>
          <w:szCs w:val="22"/>
          <w:rtl/>
        </w:rPr>
        <w:t>(</w:t>
      </w:r>
      <w:r w:rsidRPr="00746084">
        <w:rPr>
          <w:rFonts w:cs="David" w:hint="cs"/>
          <w:sz w:val="22"/>
          <w:szCs w:val="22"/>
          <w:rtl/>
        </w:rPr>
        <w:t>227-235)</w:t>
      </w:r>
      <w:r w:rsidR="00F77100" w:rsidRPr="00746084">
        <w:rPr>
          <w:rFonts w:cs="David" w:hint="cs"/>
          <w:sz w:val="22"/>
          <w:szCs w:val="22"/>
          <w:rtl/>
        </w:rPr>
        <w:t>.</w:t>
      </w:r>
    </w:p>
    <w:p w:rsidR="00746084" w:rsidRPr="00746084" w:rsidRDefault="00746084" w:rsidP="00746084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איש העכברושים (1909), </w:t>
      </w:r>
      <w:proofErr w:type="spellStart"/>
      <w:r w:rsidRPr="00746084">
        <w:rPr>
          <w:rFonts w:cs="David" w:hint="cs"/>
          <w:sz w:val="22"/>
          <w:szCs w:val="22"/>
          <w:rtl/>
        </w:rPr>
        <w:t>קוגיטו</w:t>
      </w:r>
      <w:proofErr w:type="spellEnd"/>
      <w:r w:rsidRPr="00746084">
        <w:rPr>
          <w:rFonts w:cs="David" w:hint="cs"/>
          <w:sz w:val="22"/>
          <w:szCs w:val="22"/>
          <w:rtl/>
        </w:rPr>
        <w:t xml:space="preserve"> 2004. (91-113)</w:t>
      </w:r>
    </w:p>
    <w:p w:rsidR="00746084" w:rsidRPr="00746084" w:rsidRDefault="00746084" w:rsidP="00A56BB2">
      <w:pPr>
        <w:rPr>
          <w:rFonts w:cs="David"/>
          <w:sz w:val="22"/>
          <w:szCs w:val="22"/>
          <w:rtl/>
        </w:rPr>
      </w:pPr>
    </w:p>
    <w:p w:rsidR="00F77100" w:rsidRPr="00746084" w:rsidRDefault="00F77100" w:rsidP="00A56BB2">
      <w:pPr>
        <w:ind w:left="651" w:hanging="709"/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11.        (1915) מקרה של פרנויה הסותר את התיאוריה הפסיכואנליטית. </w:t>
      </w:r>
      <w:r w:rsidRPr="00746084">
        <w:rPr>
          <w:rFonts w:cs="David" w:hint="cs"/>
          <w:sz w:val="22"/>
          <w:szCs w:val="22"/>
          <w:u w:val="single"/>
          <w:rtl/>
        </w:rPr>
        <w:t>הצגת הנרקיסיזם ומאמרים נוספים על הפסיכוזה, א.</w:t>
      </w:r>
      <w:r w:rsidRPr="00746084">
        <w:rPr>
          <w:rFonts w:cs="David" w:hint="cs"/>
          <w:sz w:val="22"/>
          <w:szCs w:val="22"/>
          <w:rtl/>
        </w:rPr>
        <w:t xml:space="preserve"> (75-92).</w:t>
      </w:r>
    </w:p>
    <w:p w:rsidR="00F77100" w:rsidRPr="00746084" w:rsidRDefault="00F77100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(1922) על כמה מנגנונים נוירוטיים בקנאה, בפרנויה ובהומוסקסואליות.  (שם.  93-111).</w:t>
      </w:r>
    </w:p>
    <w:p w:rsidR="00F77100" w:rsidRPr="00746084" w:rsidRDefault="00335FBE" w:rsidP="00A56BB2">
      <w:pPr>
        <w:rPr>
          <w:sz w:val="22"/>
          <w:szCs w:val="22"/>
          <w:rtl/>
        </w:rPr>
      </w:pPr>
      <w:r w:rsidRPr="00746084">
        <w:rPr>
          <w:rFonts w:hint="cs"/>
          <w:sz w:val="22"/>
          <w:szCs w:val="22"/>
          <w:rtl/>
        </w:rPr>
        <w:t xml:space="preserve">           </w:t>
      </w:r>
      <w:r w:rsidRPr="00746084">
        <w:rPr>
          <w:sz w:val="22"/>
          <w:szCs w:val="22"/>
        </w:rPr>
        <w:t>. (1925)</w:t>
      </w:r>
      <w:r w:rsidRPr="00746084">
        <w:rPr>
          <w:rFonts w:hint="cs"/>
          <w:sz w:val="22"/>
          <w:szCs w:val="22"/>
          <w:rtl/>
        </w:rPr>
        <w:t>(</w:t>
      </w:r>
      <w:r w:rsidRPr="00746084">
        <w:rPr>
          <w:sz w:val="22"/>
          <w:szCs w:val="22"/>
        </w:rPr>
        <w:t>Negation.</w:t>
      </w:r>
      <w:r w:rsidRPr="00746084">
        <w:rPr>
          <w:i/>
          <w:iCs/>
          <w:sz w:val="22"/>
          <w:szCs w:val="22"/>
        </w:rPr>
        <w:t xml:space="preserve"> S.E., Vol.  XIX</w:t>
      </w:r>
      <w:r w:rsidRPr="00746084">
        <w:rPr>
          <w:sz w:val="22"/>
          <w:szCs w:val="22"/>
        </w:rPr>
        <w:t>, 233-240</w:t>
      </w:r>
      <w:r w:rsidR="00F77100" w:rsidRPr="00746084">
        <w:rPr>
          <w:rFonts w:hint="cs"/>
          <w:sz w:val="22"/>
          <w:szCs w:val="22"/>
          <w:rtl/>
        </w:rPr>
        <w:t xml:space="preserve">  </w:t>
      </w:r>
    </w:p>
    <w:p w:rsidR="00335FBE" w:rsidRPr="00746084" w:rsidRDefault="00335FBE" w:rsidP="00335FBE">
      <w:pPr>
        <w:rPr>
          <w:sz w:val="22"/>
          <w:szCs w:val="22"/>
          <w:rtl/>
        </w:rPr>
      </w:pPr>
    </w:p>
    <w:p w:rsidR="00335FBE" w:rsidRPr="00746084" w:rsidRDefault="00335FBE" w:rsidP="00335FBE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12.      (1937)  אנליזה סופית ואינסופית. (201-226).</w:t>
      </w:r>
    </w:p>
    <w:sectPr w:rsidR="00335FBE" w:rsidRPr="00746084" w:rsidSect="006D1D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4"/>
    <w:rsid w:val="00040C44"/>
    <w:rsid w:val="00055C80"/>
    <w:rsid w:val="000B6202"/>
    <w:rsid w:val="00100818"/>
    <w:rsid w:val="00120ED2"/>
    <w:rsid w:val="001C3B41"/>
    <w:rsid w:val="001F7955"/>
    <w:rsid w:val="00202590"/>
    <w:rsid w:val="00233FC3"/>
    <w:rsid w:val="00236F54"/>
    <w:rsid w:val="00256B92"/>
    <w:rsid w:val="002C7739"/>
    <w:rsid w:val="00307A46"/>
    <w:rsid w:val="00334EC8"/>
    <w:rsid w:val="00335A82"/>
    <w:rsid w:val="00335FBE"/>
    <w:rsid w:val="003621AA"/>
    <w:rsid w:val="003953EF"/>
    <w:rsid w:val="0039592D"/>
    <w:rsid w:val="003A397F"/>
    <w:rsid w:val="003B657A"/>
    <w:rsid w:val="003D074B"/>
    <w:rsid w:val="00446A11"/>
    <w:rsid w:val="00450098"/>
    <w:rsid w:val="004E3763"/>
    <w:rsid w:val="004E62C4"/>
    <w:rsid w:val="00516570"/>
    <w:rsid w:val="0052686F"/>
    <w:rsid w:val="00552C6D"/>
    <w:rsid w:val="00567A23"/>
    <w:rsid w:val="005C451F"/>
    <w:rsid w:val="005C51E3"/>
    <w:rsid w:val="005D4376"/>
    <w:rsid w:val="005D43B1"/>
    <w:rsid w:val="005F0497"/>
    <w:rsid w:val="00641FFF"/>
    <w:rsid w:val="00654AED"/>
    <w:rsid w:val="00687E8E"/>
    <w:rsid w:val="00696D53"/>
    <w:rsid w:val="006D1D8D"/>
    <w:rsid w:val="00701EAB"/>
    <w:rsid w:val="00746084"/>
    <w:rsid w:val="00765E58"/>
    <w:rsid w:val="00795051"/>
    <w:rsid w:val="007C6BE7"/>
    <w:rsid w:val="008553EE"/>
    <w:rsid w:val="008931A7"/>
    <w:rsid w:val="008B2C1A"/>
    <w:rsid w:val="008C0ECB"/>
    <w:rsid w:val="008F7B1B"/>
    <w:rsid w:val="00904DDA"/>
    <w:rsid w:val="00907F48"/>
    <w:rsid w:val="0091588C"/>
    <w:rsid w:val="009F68D3"/>
    <w:rsid w:val="00A56BB2"/>
    <w:rsid w:val="00AB043F"/>
    <w:rsid w:val="00AE0D71"/>
    <w:rsid w:val="00B00DBE"/>
    <w:rsid w:val="00B0747D"/>
    <w:rsid w:val="00B66B3F"/>
    <w:rsid w:val="00B93A94"/>
    <w:rsid w:val="00BA33E6"/>
    <w:rsid w:val="00BB416C"/>
    <w:rsid w:val="00BF3298"/>
    <w:rsid w:val="00BF79D8"/>
    <w:rsid w:val="00C27DFD"/>
    <w:rsid w:val="00C3538F"/>
    <w:rsid w:val="00D27F8D"/>
    <w:rsid w:val="00D350E0"/>
    <w:rsid w:val="00D37AC2"/>
    <w:rsid w:val="00D4178D"/>
    <w:rsid w:val="00D91C60"/>
    <w:rsid w:val="00E20AAA"/>
    <w:rsid w:val="00EC2737"/>
    <w:rsid w:val="00F038E6"/>
    <w:rsid w:val="00F345C9"/>
    <w:rsid w:val="00F5024D"/>
    <w:rsid w:val="00F77100"/>
    <w:rsid w:val="00F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F8D"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"/>
    <w:rsid w:val="00B93A94"/>
    <w:pPr>
      <w:bidi w:val="0"/>
      <w:ind w:left="576" w:right="576"/>
    </w:pPr>
  </w:style>
  <w:style w:type="paragraph" w:styleId="a3">
    <w:name w:val="List Paragraph"/>
    <w:basedOn w:val="a"/>
    <w:uiPriority w:val="34"/>
    <w:qFormat/>
    <w:rsid w:val="00BF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F8D"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"/>
    <w:rsid w:val="00B93A94"/>
    <w:pPr>
      <w:bidi w:val="0"/>
      <w:ind w:left="576" w:right="576"/>
    </w:pPr>
  </w:style>
  <w:style w:type="paragraph" w:styleId="a3">
    <w:name w:val="List Paragraph"/>
    <w:basedOn w:val="a"/>
    <w:uiPriority w:val="34"/>
    <w:qFormat/>
    <w:rsid w:val="00B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נורית</cp:lastModifiedBy>
  <cp:revision>4</cp:revision>
  <cp:lastPrinted>2021-02-23T07:22:00Z</cp:lastPrinted>
  <dcterms:created xsi:type="dcterms:W3CDTF">2022-02-24T19:21:00Z</dcterms:created>
  <dcterms:modified xsi:type="dcterms:W3CDTF">2022-07-31T17:51:00Z</dcterms:modified>
</cp:coreProperties>
</file>