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6F" w:rsidRPr="00EA726F" w:rsidRDefault="00EA726F" w:rsidP="00EA726F">
      <w:pPr>
        <w:autoSpaceDE w:val="0"/>
        <w:autoSpaceDN w:val="0"/>
        <w:bidi/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bookmarkStart w:id="0" w:name="_GoBack"/>
      <w:bookmarkEnd w:id="0"/>
      <w:r w:rsidRPr="00EA726F">
        <w:rPr>
          <w:rFonts w:ascii="Arial" w:eastAsia="Times New Roman" w:hAnsi="Arial" w:cs="David" w:hint="cs"/>
          <w:sz w:val="24"/>
          <w:szCs w:val="24"/>
          <w:rtl/>
        </w:rPr>
        <w:t>המכון הישראלי לפסיכואנליזה</w:t>
      </w:r>
    </w:p>
    <w:p w:rsidR="00EA726F" w:rsidRPr="00EA726F" w:rsidRDefault="00EA726F" w:rsidP="00EA726F">
      <w:pPr>
        <w:autoSpaceDE w:val="0"/>
        <w:autoSpaceDN w:val="0"/>
        <w:bidi/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 w:rsidRPr="00EA726F">
        <w:rPr>
          <w:rFonts w:ascii="Arial" w:eastAsia="Times New Roman" w:hAnsi="Arial" w:cs="David" w:hint="cs"/>
          <w:sz w:val="24"/>
          <w:szCs w:val="24"/>
          <w:rtl/>
        </w:rPr>
        <w:t>2021-2020 סמסטר א'</w:t>
      </w:r>
    </w:p>
    <w:p w:rsidR="00EA726F" w:rsidRPr="00EA726F" w:rsidRDefault="00EA726F" w:rsidP="00EA726F">
      <w:pPr>
        <w:autoSpaceDE w:val="0"/>
        <w:autoSpaceDN w:val="0"/>
        <w:bidi/>
        <w:spacing w:after="0" w:line="240" w:lineRule="auto"/>
        <w:rPr>
          <w:rFonts w:ascii="Arial" w:eastAsia="Times New Roman" w:hAnsi="Arial" w:cs="David"/>
          <w:b/>
          <w:bCs/>
          <w:rtl/>
        </w:rPr>
      </w:pPr>
    </w:p>
    <w:p w:rsidR="00EA726F" w:rsidRPr="00EA726F" w:rsidRDefault="00EA726F" w:rsidP="00EA726F">
      <w:pPr>
        <w:autoSpaceDE w:val="0"/>
        <w:autoSpaceDN w:val="0"/>
        <w:bidi/>
        <w:spacing w:after="0" w:line="240" w:lineRule="auto"/>
        <w:jc w:val="center"/>
        <w:rPr>
          <w:rFonts w:ascii="Arial" w:eastAsia="Times New Roman" w:hAnsi="Arial" w:cs="David"/>
          <w:b/>
          <w:bCs/>
          <w:rtl/>
        </w:rPr>
      </w:pPr>
    </w:p>
    <w:p w:rsidR="00EA726F" w:rsidRPr="00EA726F" w:rsidRDefault="00EA726F" w:rsidP="00EA726F">
      <w:pPr>
        <w:autoSpaceDE w:val="0"/>
        <w:autoSpaceDN w:val="0"/>
        <w:bidi/>
        <w:spacing w:after="0" w:line="360" w:lineRule="auto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מלאני קליין </w:t>
      </w:r>
      <w:r>
        <w:rPr>
          <w:rFonts w:ascii="Arial" w:eastAsia="Times New Roman" w:hAnsi="Arial" w:cs="David"/>
          <w:b/>
          <w:bCs/>
          <w:sz w:val="28"/>
          <w:szCs w:val="28"/>
          <w:rtl/>
        </w:rPr>
        <w:t>–</w:t>
      </w:r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מושגי יסוד</w:t>
      </w:r>
    </w:p>
    <w:p w:rsidR="00EA726F" w:rsidRPr="00EA726F" w:rsidRDefault="00EA726F" w:rsidP="00EA726F">
      <w:pPr>
        <w:bidi/>
        <w:spacing w:after="160" w:line="259" w:lineRule="auto"/>
        <w:jc w:val="center"/>
        <w:rPr>
          <w:rFonts w:ascii="Calibri" w:eastAsia="Calibri" w:hAnsi="Calibri" w:cs="Arial"/>
          <w:sz w:val="32"/>
          <w:szCs w:val="32"/>
          <w:rtl/>
        </w:rPr>
      </w:pPr>
      <w:r w:rsidRPr="00EA726F">
        <w:rPr>
          <w:rFonts w:ascii="Arial" w:eastAsia="Times New Roman" w:hAnsi="Arial" w:cs="David" w:hint="cs"/>
          <w:sz w:val="24"/>
          <w:szCs w:val="24"/>
          <w:rtl/>
        </w:rPr>
        <w:t xml:space="preserve">ד"ר </w:t>
      </w:r>
      <w:r>
        <w:rPr>
          <w:rFonts w:ascii="Arial" w:eastAsia="Times New Roman" w:hAnsi="Arial" w:cs="David" w:hint="cs"/>
          <w:sz w:val="24"/>
          <w:szCs w:val="24"/>
          <w:rtl/>
        </w:rPr>
        <w:t>מירב רוט</w:t>
      </w:r>
    </w:p>
    <w:p w:rsidR="00EA726F" w:rsidRDefault="00EA726F" w:rsidP="00844BD9">
      <w:pPr>
        <w:bidi/>
        <w:rPr>
          <w:rFonts w:asciiTheme="majorBidi" w:hAnsiTheme="majorBidi" w:cstheme="majorBidi"/>
          <w:color w:val="000000"/>
          <w:sz w:val="24"/>
          <w:szCs w:val="24"/>
          <w:shd w:val="clear" w:color="auto" w:fill="F7F7F7"/>
          <w:rtl/>
        </w:rPr>
      </w:pPr>
    </w:p>
    <w:p w:rsidR="00786E50" w:rsidRPr="00EA726F" w:rsidRDefault="00CA295A" w:rsidP="00EA726F">
      <w:pPr>
        <w:bidi/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</w:pPr>
      <w:r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 xml:space="preserve">בשל האופן האינטואיטיבי בו הסיקה קליין את מסקנותיה התיאורטיות מן המפגשים הקליניים שלה עם הילדים הקטנים </w:t>
      </w:r>
      <w:r w:rsidR="00786E50"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 xml:space="preserve">ועם המבוגרים </w:t>
      </w:r>
      <w:r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>שפגשה, מהווה כל מושג שלה הכלאה של קליניקה ותיאוריה שמנהירות ומפרות זו את זו באופן שאינו ניתן להתרה. כל מושג הוא מנוף קליני רב עוצמה</w:t>
      </w:r>
      <w:r w:rsidRPr="00EA726F">
        <w:rPr>
          <w:rFonts w:ascii="David" w:hAnsi="David" w:cs="David"/>
          <w:color w:val="000000"/>
          <w:sz w:val="24"/>
          <w:szCs w:val="24"/>
          <w:shd w:val="clear" w:color="auto" w:fill="F7F7F7"/>
        </w:rPr>
        <w:t>,</w:t>
      </w:r>
      <w:r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 xml:space="preserve"> והבנתו לעומק תורמת רבות להקשבה ולטכניקה הקליניות</w:t>
      </w:r>
      <w:r w:rsidRPr="00EA726F">
        <w:rPr>
          <w:rFonts w:ascii="David" w:hAnsi="David" w:cs="David"/>
          <w:color w:val="000000"/>
          <w:sz w:val="24"/>
          <w:szCs w:val="24"/>
          <w:shd w:val="clear" w:color="auto" w:fill="F7F7F7"/>
        </w:rPr>
        <w:t>.</w:t>
      </w:r>
      <w:r w:rsidRPr="00EA726F">
        <w:rPr>
          <w:rFonts w:ascii="David" w:hAnsi="David" w:cs="David"/>
          <w:color w:val="000000"/>
          <w:sz w:val="24"/>
          <w:szCs w:val="24"/>
        </w:rPr>
        <w:br/>
      </w:r>
      <w:r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 xml:space="preserve">בקורס נבחן לעומק מושגי יסוד בחשיבה הקלייניאנית דרך קריאה בכתבי קליין עצמה. </w:t>
      </w:r>
      <w:r w:rsidR="00786E50" w:rsidRPr="00EA726F">
        <w:rPr>
          <w:rFonts w:ascii="David" w:eastAsia="Times New Roman" w:hAnsi="David" w:cs="David"/>
          <w:color w:val="000000"/>
          <w:sz w:val="24"/>
          <w:szCs w:val="24"/>
          <w:rtl/>
        </w:rPr>
        <w:t>כ</w:t>
      </w:r>
      <w:r w:rsidR="00786E50"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 xml:space="preserve">ל מושג ייבחן ראשית, דרך אופן </w:t>
      </w:r>
      <w:proofErr w:type="spellStart"/>
      <w:r w:rsidR="00786E50"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>המשגתו</w:t>
      </w:r>
      <w:proofErr w:type="spellEnd"/>
      <w:r w:rsidR="00786E50"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 xml:space="preserve"> אצל מלאני קליין עצמה, ושנית, דרך התבוננות באופן בו מתגלם המושג </w:t>
      </w:r>
      <w:proofErr w:type="spellStart"/>
      <w:r w:rsidR="00786E50"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>בוינייטה</w:t>
      </w:r>
      <w:proofErr w:type="spellEnd"/>
      <w:r w:rsidR="00786E50"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 xml:space="preserve"> קלינית שתובא על ידי המשתתפים, על מנת להוריד את התיאוריה אל הקליניקה ולנסות להבין כיצד עובדים עם כל מושג ומפרשים את מופעיו  דרך יחסי ההעברה, שהם במוקד העבודה הקלייניאנית.</w:t>
      </w:r>
    </w:p>
    <w:p w:rsidR="00CA295A" w:rsidRPr="00EA726F" w:rsidRDefault="00CA295A" w:rsidP="00844BD9">
      <w:pPr>
        <w:bidi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 xml:space="preserve">המושגים שייבחנו הינם: העולם הפנימי; הפנטסיה הלא מודעת; חרדה; </w:t>
      </w:r>
      <w:r w:rsidR="00786E50" w:rsidRPr="00EA726F">
        <w:rPr>
          <w:rFonts w:ascii="David" w:eastAsia="Times New Roman" w:hAnsi="David" w:cs="David"/>
          <w:color w:val="000000"/>
          <w:sz w:val="24"/>
          <w:szCs w:val="24"/>
          <w:rtl/>
        </w:rPr>
        <w:t>התפתחות החשיבה ויצירת הסמלים; דחף החיים, אהבה ותיקון;</w:t>
      </w:r>
      <w:r w:rsidR="00786E50"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 xml:space="preserve"> </w:t>
      </w:r>
      <w:r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 xml:space="preserve">העמדות (פרנואידית-סכיזואידית </w:t>
      </w:r>
      <w:proofErr w:type="spellStart"/>
      <w:r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>ודיפרסיבית</w:t>
      </w:r>
      <w:proofErr w:type="spellEnd"/>
      <w:r w:rsidRPr="00EA726F">
        <w:rPr>
          <w:rFonts w:ascii="David" w:hAnsi="David" w:cs="David"/>
          <w:color w:val="000000"/>
          <w:sz w:val="24"/>
          <w:szCs w:val="24"/>
          <w:shd w:val="clear" w:color="auto" w:fill="F7F7F7"/>
          <w:rtl/>
        </w:rPr>
        <w:t xml:space="preserve">); הזדהות השלכתית; </w:t>
      </w:r>
      <w:r w:rsidR="00786E50" w:rsidRPr="00EA726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האדיפוס המוקדם; </w:t>
      </w:r>
      <w:r w:rsidRPr="00EA726F">
        <w:rPr>
          <w:rFonts w:ascii="David" w:eastAsia="Times New Roman" w:hAnsi="David" w:cs="David"/>
          <w:color w:val="000000"/>
          <w:sz w:val="24"/>
          <w:szCs w:val="24"/>
          <w:rtl/>
        </w:rPr>
        <w:t>דחף המוות, שנאה וצרות עין;</w:t>
      </w:r>
      <w:r w:rsidR="00786E50" w:rsidRPr="00EA726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Pr="00EA726F">
        <w:rPr>
          <w:rFonts w:ascii="David" w:eastAsia="Times New Roman" w:hAnsi="David" w:cs="David"/>
          <w:color w:val="000000"/>
          <w:sz w:val="24"/>
          <w:szCs w:val="24"/>
          <w:rtl/>
        </w:rPr>
        <w:t>העברה.</w:t>
      </w:r>
      <w:r w:rsidRPr="00EA726F">
        <w:rPr>
          <w:rFonts w:ascii="David" w:eastAsia="Times New Roman" w:hAnsi="David" w:cs="David"/>
          <w:color w:val="000000"/>
          <w:sz w:val="24"/>
          <w:szCs w:val="24"/>
        </w:rPr>
        <w:t> </w:t>
      </w:r>
    </w:p>
    <w:p w:rsidR="00CA295A" w:rsidRPr="00EA726F" w:rsidRDefault="00CA295A" w:rsidP="00EA726F">
      <w:pPr>
        <w:shd w:val="clear" w:color="auto" w:fill="FFFFFF" w:themeFill="background1"/>
        <w:bidi/>
        <w:spacing w:line="36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EA726F">
        <w:rPr>
          <w:rFonts w:ascii="David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לקראת </w:t>
      </w:r>
      <w:r w:rsidR="00EA726F">
        <w:rPr>
          <w:rFonts w:ascii="David" w:hAnsi="David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הסמינר</w:t>
      </w:r>
      <w:r w:rsidRPr="00EA726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, אתם מוזמנים לקרוא את שני המבואות – אחד בפתח כל כרך – לספרי </w:t>
      </w:r>
      <w:r w:rsidR="00EA726F">
        <w:rPr>
          <w:rFonts w:ascii="David" w:hAnsi="David" w:cs="David" w:hint="cs"/>
          <w:i/>
          <w:i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EA726F">
        <w:rPr>
          <w:rFonts w:ascii="David" w:hAnsi="David" w:cs="David"/>
          <w:i/>
          <w:iCs/>
          <w:color w:val="000000"/>
          <w:sz w:val="24"/>
          <w:szCs w:val="24"/>
          <w:shd w:val="clear" w:color="auto" w:fill="FFFFFF"/>
          <w:rtl/>
        </w:rPr>
        <w:t>מלאני קליין – כתבים נבחרים</w:t>
      </w:r>
      <w:r w:rsidRPr="00EA726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EA726F">
        <w:rPr>
          <w:rFonts w:ascii="David" w:hAnsi="David" w:cs="David"/>
          <w:i/>
          <w:iCs/>
          <w:color w:val="000000"/>
          <w:sz w:val="24"/>
          <w:szCs w:val="24"/>
          <w:shd w:val="clear" w:color="auto" w:fill="FFFFFF"/>
          <w:rtl/>
        </w:rPr>
        <w:t>א</w:t>
      </w:r>
      <w:r w:rsidRPr="00EA726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' ו-</w:t>
      </w:r>
      <w:r w:rsidRPr="00EA726F">
        <w:rPr>
          <w:rFonts w:ascii="David" w:hAnsi="David" w:cs="David"/>
          <w:i/>
          <w:iCs/>
          <w:color w:val="000000"/>
          <w:sz w:val="24"/>
          <w:szCs w:val="24"/>
          <w:shd w:val="clear" w:color="auto" w:fill="FFFFFF"/>
          <w:rtl/>
        </w:rPr>
        <w:t>ב</w:t>
      </w:r>
      <w:r w:rsidRPr="00EA726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 xml:space="preserve">' שיצאו בהוצאת תולעת ספרים. </w:t>
      </w:r>
    </w:p>
    <w:p w:rsidR="00EA726F" w:rsidRDefault="00EA726F" w:rsidP="00CA295A">
      <w:pPr>
        <w:shd w:val="clear" w:color="auto" w:fill="FFFFFF" w:themeFill="background1"/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CA295A" w:rsidRPr="00EA726F" w:rsidRDefault="00CA295A" w:rsidP="00EA726F">
      <w:pPr>
        <w:shd w:val="clear" w:color="auto" w:fill="FFFFFF" w:themeFill="background1"/>
        <w:bidi/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EA726F">
        <w:rPr>
          <w:rFonts w:ascii="David" w:hAnsi="David" w:cs="David"/>
          <w:b/>
          <w:bCs/>
          <w:sz w:val="24"/>
          <w:szCs w:val="24"/>
          <w:rtl/>
        </w:rPr>
        <w:t>רשימת הקריאה:</w:t>
      </w:r>
    </w:p>
    <w:p w:rsidR="00CA295A" w:rsidRPr="00EA726F" w:rsidRDefault="00CA295A" w:rsidP="00CA295A">
      <w:pPr>
        <w:shd w:val="clear" w:color="auto" w:fill="FFFFFF" w:themeFill="background1"/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A726F">
        <w:rPr>
          <w:rFonts w:ascii="David" w:hAnsi="David" w:cs="David"/>
          <w:sz w:val="24"/>
          <w:szCs w:val="24"/>
          <w:rtl/>
        </w:rPr>
        <w:t xml:space="preserve">קליין, מ. (1926). </w:t>
      </w:r>
      <w:r w:rsidR="00EA726F">
        <w:rPr>
          <w:rFonts w:ascii="David" w:hAnsi="David" w:cs="David" w:hint="cs"/>
          <w:sz w:val="24"/>
          <w:szCs w:val="24"/>
          <w:rtl/>
        </w:rPr>
        <w:t xml:space="preserve"> </w:t>
      </w:r>
      <w:r w:rsidRPr="00EA726F">
        <w:rPr>
          <w:rFonts w:ascii="David" w:hAnsi="David" w:cs="David"/>
          <w:sz w:val="24"/>
          <w:szCs w:val="24"/>
          <w:rtl/>
        </w:rPr>
        <w:t xml:space="preserve">העקרונות הפסיכולוגיים של אנליזה מוקדמת. </w:t>
      </w:r>
      <w:r w:rsidRPr="00EA726F">
        <w:rPr>
          <w:rFonts w:ascii="David" w:hAnsi="David" w:cs="David"/>
          <w:i/>
          <w:iCs/>
          <w:sz w:val="24"/>
          <w:szCs w:val="24"/>
          <w:rtl/>
        </w:rPr>
        <w:t>מלאני קליין – כתבים נבחרים, כרך א'</w:t>
      </w:r>
      <w:r w:rsidRPr="00EA726F">
        <w:rPr>
          <w:rFonts w:ascii="David" w:hAnsi="David" w:cs="David"/>
          <w:sz w:val="24"/>
          <w:szCs w:val="24"/>
          <w:rtl/>
        </w:rPr>
        <w:t>, בעריכת י. דורבן, הוצאת תולעת ספרים, תל-אביב, 2003, עמ' 41-52.</w:t>
      </w:r>
    </w:p>
    <w:p w:rsidR="00CA295A" w:rsidRPr="00EA726F" w:rsidRDefault="00CA295A" w:rsidP="00CA295A">
      <w:pPr>
        <w:shd w:val="clear" w:color="auto" w:fill="FFFFFF" w:themeFill="background1"/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A726F">
        <w:rPr>
          <w:rFonts w:ascii="David" w:hAnsi="David" w:cs="David"/>
          <w:sz w:val="24"/>
          <w:szCs w:val="24"/>
          <w:rtl/>
        </w:rPr>
        <w:t>קליין, מ. (1930). החשיבות של יצירת סמלים בהתפתחות האני</w:t>
      </w:r>
      <w:r w:rsidRPr="00EA726F">
        <w:rPr>
          <w:rFonts w:ascii="David" w:hAnsi="David" w:cs="David"/>
          <w:i/>
          <w:iCs/>
          <w:sz w:val="24"/>
          <w:szCs w:val="24"/>
          <w:rtl/>
        </w:rPr>
        <w:t>.</w:t>
      </w:r>
      <w:r w:rsidRPr="00EA726F">
        <w:rPr>
          <w:rFonts w:ascii="David" w:hAnsi="David" w:cs="David"/>
          <w:sz w:val="24"/>
          <w:szCs w:val="24"/>
          <w:rtl/>
        </w:rPr>
        <w:t xml:space="preserve"> </w:t>
      </w:r>
      <w:r w:rsidRPr="00EA726F">
        <w:rPr>
          <w:rFonts w:ascii="David" w:hAnsi="David" w:cs="David"/>
          <w:i/>
          <w:iCs/>
          <w:sz w:val="24"/>
          <w:szCs w:val="24"/>
          <w:rtl/>
        </w:rPr>
        <w:t>מלאני קליין – כתבים נבחרים, כרך ב'</w:t>
      </w:r>
      <w:r w:rsidRPr="00EA726F">
        <w:rPr>
          <w:rFonts w:ascii="David" w:hAnsi="David" w:cs="David"/>
          <w:sz w:val="24"/>
          <w:szCs w:val="24"/>
          <w:rtl/>
        </w:rPr>
        <w:t xml:space="preserve">, בעריכת י. דורבן </w:t>
      </w:r>
      <w:proofErr w:type="spellStart"/>
      <w:r w:rsidRPr="00EA726F">
        <w:rPr>
          <w:rFonts w:ascii="David" w:hAnsi="David" w:cs="David"/>
          <w:sz w:val="24"/>
          <w:szCs w:val="24"/>
          <w:rtl/>
        </w:rPr>
        <w:t>ומ</w:t>
      </w:r>
      <w:proofErr w:type="spellEnd"/>
      <w:r w:rsidRPr="00EA726F">
        <w:rPr>
          <w:rFonts w:ascii="David" w:hAnsi="David" w:cs="David"/>
          <w:sz w:val="24"/>
          <w:szCs w:val="24"/>
          <w:rtl/>
        </w:rPr>
        <w:t>. רוט, הוצאת תולעת ספרים, תל-אביב, 2012, עמ' 83-106.</w:t>
      </w:r>
    </w:p>
    <w:p w:rsidR="00CA295A" w:rsidRPr="00EA726F" w:rsidRDefault="00CA295A" w:rsidP="00CA295A">
      <w:pPr>
        <w:shd w:val="clear" w:color="auto" w:fill="FFFFFF" w:themeFill="background1"/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A726F">
        <w:rPr>
          <w:rFonts w:ascii="David" w:hAnsi="David" w:cs="David"/>
          <w:sz w:val="24"/>
          <w:szCs w:val="24"/>
          <w:rtl/>
        </w:rPr>
        <w:t xml:space="preserve">קליין, מ. (1937). אהבה, אשמה ותיקון. </w:t>
      </w:r>
      <w:r w:rsidRPr="00EA726F">
        <w:rPr>
          <w:rFonts w:ascii="David" w:hAnsi="David" w:cs="David"/>
          <w:i/>
          <w:iCs/>
          <w:sz w:val="24"/>
          <w:szCs w:val="24"/>
          <w:rtl/>
        </w:rPr>
        <w:t>מלאני קליין – כתבים נבחרים, כרך א'</w:t>
      </w:r>
      <w:r w:rsidRPr="00EA726F">
        <w:rPr>
          <w:rFonts w:ascii="David" w:hAnsi="David" w:cs="David"/>
          <w:sz w:val="24"/>
          <w:szCs w:val="24"/>
          <w:rtl/>
        </w:rPr>
        <w:t>, בעריכת י. דורבן, הוצאת תולעת ספרים, תל-אביב, 2003, עמ' 53-93.</w:t>
      </w:r>
    </w:p>
    <w:p w:rsidR="00CA295A" w:rsidRPr="00EA726F" w:rsidRDefault="00CA295A" w:rsidP="00CA295A">
      <w:pPr>
        <w:shd w:val="clear" w:color="auto" w:fill="FFFFFF" w:themeFill="background1"/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A726F">
        <w:rPr>
          <w:rFonts w:ascii="David" w:hAnsi="David" w:cs="David"/>
          <w:sz w:val="24"/>
          <w:szCs w:val="24"/>
          <w:rtl/>
        </w:rPr>
        <w:t>קליין, מ. (1940).</w:t>
      </w:r>
      <w:r w:rsidRPr="00EA726F">
        <w:rPr>
          <w:rFonts w:ascii="David" w:hAnsi="David" w:cs="David"/>
          <w:i/>
          <w:iCs/>
          <w:sz w:val="24"/>
          <w:szCs w:val="24"/>
          <w:rtl/>
        </w:rPr>
        <w:t xml:space="preserve"> </w:t>
      </w:r>
      <w:r w:rsidRPr="00EA726F">
        <w:rPr>
          <w:rFonts w:ascii="David" w:hAnsi="David" w:cs="David"/>
          <w:sz w:val="24"/>
          <w:szCs w:val="24"/>
          <w:rtl/>
        </w:rPr>
        <w:t xml:space="preserve">אבל ביחס למצבים מאניים </w:t>
      </w:r>
      <w:proofErr w:type="spellStart"/>
      <w:r w:rsidRPr="00EA726F">
        <w:rPr>
          <w:rFonts w:ascii="David" w:hAnsi="David" w:cs="David"/>
          <w:sz w:val="24"/>
          <w:szCs w:val="24"/>
          <w:rtl/>
        </w:rPr>
        <w:t>דיפרסיביים</w:t>
      </w:r>
      <w:proofErr w:type="spellEnd"/>
      <w:r w:rsidRPr="00EA726F">
        <w:rPr>
          <w:rFonts w:ascii="David" w:hAnsi="David" w:cs="David"/>
          <w:i/>
          <w:iCs/>
          <w:sz w:val="24"/>
          <w:szCs w:val="24"/>
          <w:rtl/>
        </w:rPr>
        <w:t>. מלאני קליין – כתבים נבחרים, כרך א'</w:t>
      </w:r>
      <w:r w:rsidRPr="00EA726F">
        <w:rPr>
          <w:rFonts w:ascii="David" w:hAnsi="David" w:cs="David"/>
          <w:sz w:val="24"/>
          <w:szCs w:val="24"/>
          <w:rtl/>
        </w:rPr>
        <w:t>, בעריכת י. דורבן, הוצאת תולעת ספרים, תל-אביב, 2003, עמ' 94-121.</w:t>
      </w:r>
    </w:p>
    <w:p w:rsidR="00CA295A" w:rsidRPr="00EA726F" w:rsidRDefault="00CA295A" w:rsidP="00CA295A">
      <w:pPr>
        <w:shd w:val="clear" w:color="auto" w:fill="FFFFFF" w:themeFill="background1"/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A726F">
        <w:rPr>
          <w:rFonts w:ascii="David" w:hAnsi="David" w:cs="David"/>
          <w:sz w:val="24"/>
          <w:szCs w:val="24"/>
          <w:rtl/>
        </w:rPr>
        <w:t>קליין, מ. (1946).</w:t>
      </w:r>
      <w:r w:rsidRPr="00EA726F">
        <w:rPr>
          <w:rFonts w:ascii="David" w:hAnsi="David" w:cs="David"/>
          <w:i/>
          <w:iCs/>
          <w:sz w:val="24"/>
          <w:szCs w:val="24"/>
          <w:rtl/>
        </w:rPr>
        <w:t xml:space="preserve"> </w:t>
      </w:r>
      <w:r w:rsidRPr="00EA726F">
        <w:rPr>
          <w:rFonts w:ascii="David" w:hAnsi="David" w:cs="David"/>
          <w:sz w:val="24"/>
          <w:szCs w:val="24"/>
          <w:rtl/>
        </w:rPr>
        <w:t>הערות לכמה מנגנונים סכיזואידיים</w:t>
      </w:r>
      <w:r w:rsidRPr="00EA726F">
        <w:rPr>
          <w:rFonts w:ascii="David" w:hAnsi="David" w:cs="David"/>
          <w:i/>
          <w:iCs/>
          <w:sz w:val="24"/>
          <w:szCs w:val="24"/>
          <w:rtl/>
        </w:rPr>
        <w:t>. מלאני קליין – כתבים נבחרים, כרך א'</w:t>
      </w:r>
      <w:r w:rsidRPr="00EA726F">
        <w:rPr>
          <w:rFonts w:ascii="David" w:hAnsi="David" w:cs="David"/>
          <w:sz w:val="24"/>
          <w:szCs w:val="24"/>
          <w:rtl/>
        </w:rPr>
        <w:t>, בעריכת י. דורבן, הוצאת תולעת ספרים, תל-אביב, 2003, עמ' 177-203.</w:t>
      </w:r>
    </w:p>
    <w:p w:rsidR="00CA295A" w:rsidRPr="00EA726F" w:rsidRDefault="00CA295A" w:rsidP="00CA295A">
      <w:pPr>
        <w:shd w:val="clear" w:color="auto" w:fill="FFFFFF" w:themeFill="background1"/>
        <w:bidi/>
        <w:spacing w:line="36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EA726F">
        <w:rPr>
          <w:rFonts w:ascii="David" w:hAnsi="David" w:cs="David"/>
          <w:sz w:val="24"/>
          <w:szCs w:val="24"/>
          <w:rtl/>
        </w:rPr>
        <w:t xml:space="preserve">קליין, מ. (1945). התסביך האדיפלי לנוכח החרדות המוקדמות. </w:t>
      </w:r>
      <w:r w:rsidRPr="00EA726F">
        <w:rPr>
          <w:rFonts w:ascii="David" w:hAnsi="David" w:cs="David"/>
          <w:i/>
          <w:iCs/>
          <w:sz w:val="24"/>
          <w:szCs w:val="24"/>
          <w:rtl/>
        </w:rPr>
        <w:t>מלאני קליין – כתבים נבחרים, כרך א'</w:t>
      </w:r>
      <w:r w:rsidRPr="00EA726F">
        <w:rPr>
          <w:rFonts w:ascii="David" w:hAnsi="David" w:cs="David"/>
          <w:sz w:val="24"/>
          <w:szCs w:val="24"/>
          <w:rtl/>
        </w:rPr>
        <w:t xml:space="preserve">, בעריכת י. דורבן, הוצאת תולעת ספרים, תל-אביב, 2003, עמ' </w:t>
      </w:r>
      <w:r w:rsidRPr="00EA726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122-174.</w:t>
      </w:r>
    </w:p>
    <w:p w:rsidR="00CA295A" w:rsidRPr="00EA726F" w:rsidRDefault="00CA295A" w:rsidP="00CA295A">
      <w:pPr>
        <w:shd w:val="clear" w:color="auto" w:fill="FFFFFF" w:themeFill="background1"/>
        <w:bidi/>
        <w:spacing w:line="36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EA726F">
        <w:rPr>
          <w:rFonts w:ascii="David" w:hAnsi="David" w:cs="David"/>
          <w:sz w:val="24"/>
          <w:szCs w:val="24"/>
          <w:rtl/>
        </w:rPr>
        <w:lastRenderedPageBreak/>
        <w:t>קליין, מ. (1957</w:t>
      </w:r>
      <w:r w:rsidRPr="00EA726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). צרות עין והכרת תודה</w:t>
      </w:r>
      <w:r w:rsidRPr="00EA726F">
        <w:rPr>
          <w:rFonts w:ascii="David" w:hAnsi="David" w:cs="David"/>
          <w:sz w:val="24"/>
          <w:szCs w:val="24"/>
          <w:rtl/>
        </w:rPr>
        <w:t xml:space="preserve">. </w:t>
      </w:r>
      <w:r w:rsidRPr="00EA726F">
        <w:rPr>
          <w:rFonts w:ascii="David" w:hAnsi="David" w:cs="David"/>
          <w:i/>
          <w:iCs/>
          <w:sz w:val="24"/>
          <w:szCs w:val="24"/>
          <w:rtl/>
        </w:rPr>
        <w:t>מלאני קליין – כתבים נבחרים, כרך א'</w:t>
      </w:r>
      <w:r w:rsidRPr="00EA726F">
        <w:rPr>
          <w:rFonts w:ascii="David" w:hAnsi="David" w:cs="David"/>
          <w:sz w:val="24"/>
          <w:szCs w:val="24"/>
          <w:rtl/>
        </w:rPr>
        <w:t xml:space="preserve">, בעריכת י. דורבן, הוצאת תולעת ספרים, תל-אביב, 2003, עמ' </w:t>
      </w:r>
      <w:r w:rsidRPr="00EA726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241-304.</w:t>
      </w:r>
    </w:p>
    <w:p w:rsidR="00CA295A" w:rsidRPr="00EA726F" w:rsidRDefault="00CA295A" w:rsidP="00CA295A">
      <w:pPr>
        <w:shd w:val="clear" w:color="auto" w:fill="FFFFFF" w:themeFill="background1"/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EA726F">
        <w:rPr>
          <w:rFonts w:ascii="David" w:hAnsi="David" w:cs="David"/>
          <w:sz w:val="24"/>
          <w:szCs w:val="24"/>
          <w:rtl/>
        </w:rPr>
        <w:t>קליין, מ. (1963). על תחושת הבדידות</w:t>
      </w:r>
      <w:r w:rsidRPr="00EA726F">
        <w:rPr>
          <w:rFonts w:ascii="David" w:hAnsi="David" w:cs="David"/>
          <w:i/>
          <w:iCs/>
          <w:sz w:val="24"/>
          <w:szCs w:val="24"/>
          <w:rtl/>
        </w:rPr>
        <w:t>.</w:t>
      </w:r>
      <w:r w:rsidRPr="00EA726F">
        <w:rPr>
          <w:rFonts w:ascii="David" w:hAnsi="David" w:cs="David"/>
          <w:sz w:val="24"/>
          <w:szCs w:val="24"/>
          <w:rtl/>
        </w:rPr>
        <w:t xml:space="preserve"> </w:t>
      </w:r>
      <w:r w:rsidRPr="00EA726F">
        <w:rPr>
          <w:rFonts w:ascii="David" w:hAnsi="David" w:cs="David"/>
          <w:i/>
          <w:iCs/>
          <w:sz w:val="24"/>
          <w:szCs w:val="24"/>
          <w:rtl/>
        </w:rPr>
        <w:t>מלאני קליין – כתבים נבחרים, כרך ב'</w:t>
      </w:r>
      <w:r w:rsidRPr="00EA726F">
        <w:rPr>
          <w:rFonts w:ascii="David" w:hAnsi="David" w:cs="David"/>
          <w:sz w:val="24"/>
          <w:szCs w:val="24"/>
          <w:rtl/>
        </w:rPr>
        <w:t xml:space="preserve">, בעריכת י. דורבן </w:t>
      </w:r>
      <w:proofErr w:type="spellStart"/>
      <w:r w:rsidRPr="00EA726F">
        <w:rPr>
          <w:rFonts w:ascii="David" w:hAnsi="David" w:cs="David"/>
          <w:sz w:val="24"/>
          <w:szCs w:val="24"/>
          <w:rtl/>
        </w:rPr>
        <w:t>ומ</w:t>
      </w:r>
      <w:proofErr w:type="spellEnd"/>
      <w:r w:rsidRPr="00EA726F">
        <w:rPr>
          <w:rFonts w:ascii="David" w:hAnsi="David" w:cs="David"/>
          <w:sz w:val="24"/>
          <w:szCs w:val="24"/>
          <w:rtl/>
        </w:rPr>
        <w:t>. רוט, הוצאת תולעת ספרים, תל-אביב, 2012, עמ' 297-322.</w:t>
      </w:r>
    </w:p>
    <w:p w:rsidR="00EA726F" w:rsidRDefault="00EA726F" w:rsidP="00CA295A">
      <w:pPr>
        <w:shd w:val="clear" w:color="auto" w:fill="FFFFFF" w:themeFill="background1"/>
        <w:bidi/>
        <w:spacing w:line="36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</w:p>
    <w:p w:rsidR="00CA295A" w:rsidRPr="00EA726F" w:rsidRDefault="00CA295A" w:rsidP="00EA726F">
      <w:pPr>
        <w:shd w:val="clear" w:color="auto" w:fill="FFFFFF" w:themeFill="background1"/>
        <w:bidi/>
        <w:spacing w:line="36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EA726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קריאה מהנה,</w:t>
      </w:r>
    </w:p>
    <w:p w:rsidR="00CA295A" w:rsidRPr="00EA726F" w:rsidRDefault="00CA295A" w:rsidP="00CA295A">
      <w:pPr>
        <w:shd w:val="clear" w:color="auto" w:fill="FFFFFF" w:themeFill="background1"/>
        <w:bidi/>
        <w:spacing w:line="36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EA726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מצפה להתראות אתכם בקרוב,</w:t>
      </w:r>
    </w:p>
    <w:p w:rsidR="00CA295A" w:rsidRPr="00EA726F" w:rsidRDefault="00CA295A" w:rsidP="00CA295A">
      <w:pPr>
        <w:shd w:val="clear" w:color="auto" w:fill="FFFFFF" w:themeFill="background1"/>
        <w:bidi/>
        <w:spacing w:line="36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EA726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ד"ר מירב רוט.</w:t>
      </w:r>
    </w:p>
    <w:p w:rsidR="00CA295A" w:rsidRPr="00786E50" w:rsidRDefault="00CA295A" w:rsidP="00CA295A">
      <w:pPr>
        <w:shd w:val="clear" w:color="auto" w:fill="FFFFFF" w:themeFill="background1"/>
        <w:bidi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sectPr w:rsidR="00CA295A" w:rsidRPr="00786E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87" w:rsidRDefault="00314287" w:rsidP="00EA726F">
      <w:pPr>
        <w:spacing w:after="0" w:line="240" w:lineRule="auto"/>
      </w:pPr>
      <w:r>
        <w:separator/>
      </w:r>
    </w:p>
  </w:endnote>
  <w:endnote w:type="continuationSeparator" w:id="0">
    <w:p w:rsidR="00314287" w:rsidRDefault="00314287" w:rsidP="00EA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638006"/>
      <w:docPartObj>
        <w:docPartGallery w:val="Page Numbers (Bottom of Page)"/>
        <w:docPartUnique/>
      </w:docPartObj>
    </w:sdtPr>
    <w:sdtEndPr>
      <w:rPr>
        <w:cs/>
      </w:rPr>
    </w:sdtEndPr>
    <w:sdtContent>
      <w:p w:rsidR="00EA726F" w:rsidRDefault="00EA726F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7A49B7" w:rsidRPr="007A49B7">
          <w:rPr>
            <w:rFonts w:cs="Calibri"/>
            <w:noProof/>
            <w:lang w:val="he-IL"/>
          </w:rPr>
          <w:t>2</w:t>
        </w:r>
        <w:r>
          <w:fldChar w:fldCharType="end"/>
        </w:r>
      </w:p>
    </w:sdtContent>
  </w:sdt>
  <w:p w:rsidR="00EA726F" w:rsidRDefault="00EA72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87" w:rsidRDefault="00314287" w:rsidP="00EA726F">
      <w:pPr>
        <w:spacing w:after="0" w:line="240" w:lineRule="auto"/>
      </w:pPr>
      <w:r>
        <w:separator/>
      </w:r>
    </w:p>
  </w:footnote>
  <w:footnote w:type="continuationSeparator" w:id="0">
    <w:p w:rsidR="00314287" w:rsidRDefault="00314287" w:rsidP="00EA7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5A"/>
    <w:rsid w:val="0008694C"/>
    <w:rsid w:val="001027A9"/>
    <w:rsid w:val="00314287"/>
    <w:rsid w:val="0054202E"/>
    <w:rsid w:val="00786E50"/>
    <w:rsid w:val="007A49B7"/>
    <w:rsid w:val="00844BD9"/>
    <w:rsid w:val="00CA295A"/>
    <w:rsid w:val="00CE635D"/>
    <w:rsid w:val="00DE2C3B"/>
    <w:rsid w:val="00E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A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95A"/>
  </w:style>
  <w:style w:type="paragraph" w:styleId="a3">
    <w:name w:val="header"/>
    <w:basedOn w:val="a"/>
    <w:link w:val="a4"/>
    <w:uiPriority w:val="99"/>
    <w:unhideWhenUsed/>
    <w:rsid w:val="00EA7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A726F"/>
  </w:style>
  <w:style w:type="paragraph" w:styleId="a5">
    <w:name w:val="footer"/>
    <w:basedOn w:val="a"/>
    <w:link w:val="a6"/>
    <w:uiPriority w:val="99"/>
    <w:unhideWhenUsed/>
    <w:rsid w:val="00EA7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A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A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95A"/>
  </w:style>
  <w:style w:type="paragraph" w:styleId="a3">
    <w:name w:val="header"/>
    <w:basedOn w:val="a"/>
    <w:link w:val="a4"/>
    <w:uiPriority w:val="99"/>
    <w:unhideWhenUsed/>
    <w:rsid w:val="00EA7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A726F"/>
  </w:style>
  <w:style w:type="paragraph" w:styleId="a5">
    <w:name w:val="footer"/>
    <w:basedOn w:val="a"/>
    <w:link w:val="a6"/>
    <w:uiPriority w:val="99"/>
    <w:unhideWhenUsed/>
    <w:rsid w:val="00EA7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A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2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Merav</dc:creator>
  <cp:lastModifiedBy>נורית</cp:lastModifiedBy>
  <cp:revision>2</cp:revision>
  <dcterms:created xsi:type="dcterms:W3CDTF">2021-02-18T13:11:00Z</dcterms:created>
  <dcterms:modified xsi:type="dcterms:W3CDTF">2021-02-18T13:11:00Z</dcterms:modified>
</cp:coreProperties>
</file>