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5C9" w:rsidRDefault="00A875C9" w:rsidP="00A875C9">
      <w:pPr>
        <w:bidi/>
        <w:rPr>
          <w:rFonts w:cs="David"/>
          <w:rtl/>
        </w:rPr>
      </w:pPr>
    </w:p>
    <w:p w:rsidR="00A875C9" w:rsidRDefault="00A875C9" w:rsidP="00A875C9">
      <w:pPr>
        <w:bidi/>
        <w:rPr>
          <w:rFonts w:cs="David"/>
        </w:rPr>
      </w:pPr>
      <w:r>
        <w:rPr>
          <w:rFonts w:cs="David" w:hint="cs"/>
          <w:rtl/>
        </w:rPr>
        <w:t>המכון הישראלי לפסיכואנליזה</w:t>
      </w:r>
      <w:r>
        <w:rPr>
          <w:rFonts w:cs="David"/>
          <w:rtl/>
        </w:rPr>
        <w:t xml:space="preserve"> </w:t>
      </w:r>
    </w:p>
    <w:p w:rsidR="00A875C9" w:rsidRDefault="000A20E9" w:rsidP="00FF4546">
      <w:pPr>
        <w:bidi/>
        <w:rPr>
          <w:rFonts w:cs="David"/>
          <w:rtl/>
        </w:rPr>
      </w:pPr>
      <w:r>
        <w:rPr>
          <w:rFonts w:cs="David" w:hint="cs"/>
          <w:rtl/>
        </w:rPr>
        <w:t>20</w:t>
      </w:r>
      <w:r w:rsidR="00D53152">
        <w:rPr>
          <w:rFonts w:cs="David" w:hint="cs"/>
          <w:rtl/>
        </w:rPr>
        <w:t>2</w:t>
      </w:r>
      <w:r w:rsidR="00FF4546">
        <w:rPr>
          <w:rFonts w:cs="David" w:hint="cs"/>
          <w:rtl/>
        </w:rPr>
        <w:t>1</w:t>
      </w:r>
      <w:r w:rsidR="00BD4B33">
        <w:rPr>
          <w:rFonts w:cs="David" w:hint="cs"/>
          <w:rtl/>
        </w:rPr>
        <w:t>-20</w:t>
      </w:r>
      <w:r w:rsidR="00FF4546">
        <w:rPr>
          <w:rFonts w:cs="David" w:hint="cs"/>
          <w:rtl/>
        </w:rPr>
        <w:t>20</w:t>
      </w:r>
      <w:r w:rsidR="00A875C9">
        <w:rPr>
          <w:rFonts w:cs="David" w:hint="cs"/>
          <w:rtl/>
        </w:rPr>
        <w:t xml:space="preserve">  סמסטר ב'</w:t>
      </w:r>
    </w:p>
    <w:p w:rsidR="008F24EF" w:rsidRDefault="008F24EF">
      <w:pPr>
        <w:bidi/>
        <w:jc w:val="center"/>
        <w:rPr>
          <w:b/>
          <w:bCs/>
          <w:szCs w:val="36"/>
          <w:rtl/>
        </w:rPr>
      </w:pPr>
    </w:p>
    <w:p w:rsidR="008328F7" w:rsidRPr="0078011D" w:rsidRDefault="008F24EF" w:rsidP="0078011D">
      <w:pPr>
        <w:bidi/>
        <w:spacing w:line="360" w:lineRule="auto"/>
        <w:jc w:val="center"/>
        <w:rPr>
          <w:rFonts w:cs="David"/>
          <w:b/>
          <w:bCs/>
          <w:sz w:val="26"/>
          <w:szCs w:val="26"/>
          <w:rtl/>
        </w:rPr>
      </w:pPr>
      <w:r w:rsidRPr="0078011D">
        <w:rPr>
          <w:rFonts w:cs="David"/>
          <w:b/>
          <w:bCs/>
          <w:sz w:val="26"/>
          <w:szCs w:val="26"/>
          <w:rtl/>
        </w:rPr>
        <w:t>התפתחות מחשבת פרויד</w:t>
      </w:r>
      <w:r w:rsidR="008328F7" w:rsidRPr="0078011D">
        <w:rPr>
          <w:rFonts w:cs="David" w:hint="cs"/>
          <w:b/>
          <w:bCs/>
          <w:sz w:val="26"/>
          <w:szCs w:val="26"/>
          <w:rtl/>
        </w:rPr>
        <w:t xml:space="preserve"> חלק </w:t>
      </w:r>
      <w:r w:rsidR="008328F7" w:rsidRPr="0078011D">
        <w:rPr>
          <w:rFonts w:cs="David"/>
          <w:b/>
          <w:bCs/>
          <w:sz w:val="26"/>
          <w:szCs w:val="26"/>
          <w:rtl/>
        </w:rPr>
        <w:t>ב'</w:t>
      </w:r>
      <w:r w:rsidR="008328F7" w:rsidRPr="0078011D">
        <w:rPr>
          <w:rFonts w:cs="David" w:hint="cs"/>
          <w:b/>
          <w:bCs/>
          <w:sz w:val="26"/>
          <w:szCs w:val="26"/>
          <w:rtl/>
        </w:rPr>
        <w:t xml:space="preserve"> </w:t>
      </w:r>
      <w:r w:rsidR="008328F7" w:rsidRPr="0078011D">
        <w:rPr>
          <w:rFonts w:cs="David"/>
          <w:b/>
          <w:bCs/>
          <w:sz w:val="26"/>
          <w:szCs w:val="26"/>
          <w:rtl/>
        </w:rPr>
        <w:t>– המטא-פסיכולוגיה</w:t>
      </w:r>
      <w:r w:rsidR="0078011D" w:rsidRPr="0078011D">
        <w:rPr>
          <w:rFonts w:cs="David" w:hint="cs"/>
          <w:b/>
          <w:bCs/>
          <w:sz w:val="26"/>
          <w:szCs w:val="26"/>
          <w:rtl/>
        </w:rPr>
        <w:t>:</w:t>
      </w:r>
      <w:r w:rsidR="008328F7" w:rsidRPr="0078011D">
        <w:rPr>
          <w:rFonts w:cs="David"/>
          <w:b/>
          <w:bCs/>
          <w:sz w:val="26"/>
          <w:szCs w:val="26"/>
          <w:rtl/>
        </w:rPr>
        <w:t xml:space="preserve"> גיבוש וחידוש (1915 - 1923)</w:t>
      </w:r>
    </w:p>
    <w:p w:rsidR="008F24EF" w:rsidRPr="008328F7" w:rsidRDefault="008328F7" w:rsidP="008328F7">
      <w:pPr>
        <w:bidi/>
        <w:jc w:val="center"/>
        <w:rPr>
          <w:rFonts w:cs="David"/>
          <w:sz w:val="34"/>
          <w:rtl/>
        </w:rPr>
      </w:pPr>
      <w:r w:rsidRPr="008328F7">
        <w:rPr>
          <w:rFonts w:cs="David" w:hint="cs"/>
          <w:sz w:val="34"/>
          <w:rtl/>
        </w:rPr>
        <w:t>פרופ' שמואל ארליך</w:t>
      </w:r>
    </w:p>
    <w:p w:rsidR="008F24EF" w:rsidRDefault="008F24EF">
      <w:pPr>
        <w:bidi/>
        <w:jc w:val="both"/>
        <w:rPr>
          <w:sz w:val="34"/>
          <w:rtl/>
        </w:rPr>
      </w:pPr>
    </w:p>
    <w:p w:rsidR="008328F7" w:rsidRDefault="008328F7">
      <w:pPr>
        <w:bidi/>
        <w:jc w:val="both"/>
        <w:rPr>
          <w:rFonts w:cs="David"/>
          <w:sz w:val="34"/>
          <w:rtl/>
        </w:rPr>
      </w:pPr>
    </w:p>
    <w:p w:rsidR="00713238" w:rsidRDefault="00713238" w:rsidP="008328F7">
      <w:pPr>
        <w:bidi/>
        <w:jc w:val="both"/>
        <w:rPr>
          <w:rFonts w:cs="David" w:hint="cs"/>
          <w:sz w:val="34"/>
          <w:rtl/>
        </w:rPr>
      </w:pPr>
      <w:r w:rsidRPr="00713238">
        <w:rPr>
          <w:rFonts w:cs="David" w:hint="cs"/>
          <w:sz w:val="34"/>
          <w:rtl/>
        </w:rPr>
        <w:t>הסמינר הוא המשך של סמינר קודם (1914-1893) ועוקב אחרי התפתחות מחשבת פרויד בשנים המאוחרות, שנים של ביסוס הפסיכואנליזה. מחד התגבשה בהן המטא-פסיכולוגיה (התיאוריה הפסיכולוגית של הנפש, התפתחותה ותפקודה) ומאידך התחוללו שינויים ותיקונים מרחיקי לכת במודלים שעוצבו בתקופה הקודמת. נתחיל את הסקירה מהמאמר "על הנרקיסיות" ונסיים אותה ב"אני והסתמי". נוכל לבדוק את גישתו הייחודית של פרויד לחקר הנפש ואת נכונותו לעדכן ולפתח את המודלים התיאורטיים שיצר לאור ממצאיו הקליניים.</w:t>
      </w:r>
    </w:p>
    <w:p w:rsidR="00713238" w:rsidRDefault="00713238" w:rsidP="00713238">
      <w:pPr>
        <w:bidi/>
        <w:jc w:val="both"/>
        <w:rPr>
          <w:rFonts w:cs="David" w:hint="cs"/>
          <w:sz w:val="34"/>
          <w:rtl/>
        </w:rPr>
      </w:pPr>
    </w:p>
    <w:p w:rsidR="00713238" w:rsidRDefault="00713238" w:rsidP="00713238">
      <w:pPr>
        <w:bidi/>
        <w:jc w:val="both"/>
        <w:rPr>
          <w:rFonts w:cs="David" w:hint="cs"/>
          <w:sz w:val="34"/>
          <w:rtl/>
        </w:rPr>
      </w:pPr>
      <w:bookmarkStart w:id="0" w:name="_GoBack"/>
      <w:bookmarkEnd w:id="0"/>
    </w:p>
    <w:p w:rsidR="008F24EF" w:rsidRPr="00A875C9" w:rsidRDefault="008F24EF" w:rsidP="00713238">
      <w:pPr>
        <w:bidi/>
        <w:jc w:val="both"/>
        <w:rPr>
          <w:rFonts w:cs="David"/>
          <w:sz w:val="34"/>
          <w:rtl/>
        </w:rPr>
      </w:pPr>
      <w:r w:rsidRPr="00A875C9">
        <w:rPr>
          <w:rFonts w:cs="David"/>
          <w:sz w:val="34"/>
          <w:rtl/>
        </w:rPr>
        <w:t xml:space="preserve">שימו לב: קצב ההתקדמות בקריאה יותאם לקבוצה. משום כך, יתכן שלא נספיק לעבור על כל הפריטים שברשימה. בכל מקרה, הקפידו לקרוא את החומר </w:t>
      </w:r>
      <w:r w:rsidRPr="00A875C9">
        <w:rPr>
          <w:rFonts w:cs="David"/>
          <w:sz w:val="34"/>
          <w:szCs w:val="28"/>
          <w:rtl/>
        </w:rPr>
        <w:t>לפני</w:t>
      </w:r>
      <w:r w:rsidRPr="00A875C9">
        <w:rPr>
          <w:rFonts w:cs="David"/>
          <w:sz w:val="34"/>
          <w:rtl/>
        </w:rPr>
        <w:t xml:space="preserve"> כל פגישה!</w:t>
      </w:r>
    </w:p>
    <w:p w:rsidR="008F24EF" w:rsidRPr="00A875C9" w:rsidRDefault="008F24EF">
      <w:pPr>
        <w:bidi/>
        <w:jc w:val="both"/>
        <w:rPr>
          <w:rFonts w:cs="David"/>
          <w:sz w:val="34"/>
          <w:rtl/>
        </w:rPr>
      </w:pPr>
    </w:p>
    <w:p w:rsidR="008F24EF" w:rsidRPr="00A875C9" w:rsidRDefault="008F24EF">
      <w:pPr>
        <w:bidi/>
        <w:jc w:val="both"/>
        <w:rPr>
          <w:rFonts w:cs="David"/>
          <w:sz w:val="34"/>
          <w:rtl/>
        </w:rPr>
      </w:pPr>
      <w:r w:rsidRPr="00A875C9">
        <w:rPr>
          <w:rFonts w:cs="David"/>
          <w:sz w:val="34"/>
          <w:rtl/>
        </w:rPr>
        <w:t>בנוסף לרשימת הקריאה מומלץ לקרוא במקביל בשתי הביוגרפיות העיקריות על חייו של פרויד:</w:t>
      </w:r>
    </w:p>
    <w:p w:rsidR="008F24EF" w:rsidRDefault="008F24EF">
      <w:pPr>
        <w:bidi/>
        <w:jc w:val="both"/>
        <w:rPr>
          <w:sz w:val="34"/>
        </w:rPr>
      </w:pPr>
    </w:p>
    <w:p w:rsidR="008F24EF" w:rsidRDefault="008F24EF">
      <w:pPr>
        <w:jc w:val="both"/>
      </w:pPr>
      <w:r>
        <w:t xml:space="preserve">JONES, ERNEST. </w:t>
      </w:r>
      <w:proofErr w:type="gramStart"/>
      <w:r>
        <w:rPr>
          <w:u w:val="single"/>
        </w:rPr>
        <w:t>The life and Work of Sigmund Freud.</w:t>
      </w:r>
      <w:proofErr w:type="gramEnd"/>
      <w:r>
        <w:t xml:space="preserve"> Vol. 1 (1856-1900). New York: Basic Books, 1953.</w:t>
      </w:r>
    </w:p>
    <w:p w:rsidR="008F24EF" w:rsidRDefault="008F24EF">
      <w:pPr>
        <w:jc w:val="both"/>
      </w:pPr>
    </w:p>
    <w:p w:rsidR="008F24EF" w:rsidRDefault="008F24EF">
      <w:pPr>
        <w:jc w:val="both"/>
      </w:pPr>
      <w:r>
        <w:t xml:space="preserve">GAY, PETER. </w:t>
      </w:r>
      <w:r>
        <w:rPr>
          <w:u w:val="single"/>
        </w:rPr>
        <w:t>Freud: A Life for Our Time.</w:t>
      </w:r>
      <w:r>
        <w:t xml:space="preserve"> New York: Norton, 1988.</w:t>
      </w:r>
    </w:p>
    <w:p w:rsidR="008F24EF" w:rsidRDefault="008F24EF">
      <w:pPr>
        <w:bidi/>
        <w:jc w:val="both"/>
        <w:rPr>
          <w:rtl/>
        </w:rPr>
      </w:pPr>
    </w:p>
    <w:p w:rsidR="008F24EF" w:rsidRPr="00A875C9" w:rsidRDefault="008F24EF">
      <w:pPr>
        <w:bidi/>
        <w:jc w:val="both"/>
        <w:rPr>
          <w:rFonts w:cs="David"/>
          <w:sz w:val="34"/>
          <w:rtl/>
        </w:rPr>
      </w:pPr>
      <w:r w:rsidRPr="00A875C9">
        <w:rPr>
          <w:rFonts w:cs="David"/>
          <w:sz w:val="34"/>
          <w:rtl/>
        </w:rPr>
        <w:t xml:space="preserve">(ספרו של פיטר </w:t>
      </w:r>
      <w:proofErr w:type="spellStart"/>
      <w:r w:rsidRPr="00A875C9">
        <w:rPr>
          <w:rFonts w:cs="David"/>
          <w:sz w:val="34"/>
          <w:rtl/>
        </w:rPr>
        <w:t>גיי</w:t>
      </w:r>
      <w:proofErr w:type="spellEnd"/>
      <w:r w:rsidRPr="00A875C9">
        <w:rPr>
          <w:rFonts w:cs="David"/>
          <w:sz w:val="34"/>
          <w:rtl/>
        </w:rPr>
        <w:t xml:space="preserve"> תורגם ויצא לאור בעברית).</w:t>
      </w:r>
    </w:p>
    <w:p w:rsidR="008F24EF" w:rsidRDefault="008F24EF">
      <w:pPr>
        <w:bidi/>
        <w:jc w:val="both"/>
        <w:rPr>
          <w:rtl/>
        </w:rPr>
      </w:pPr>
    </w:p>
    <w:p w:rsidR="008F24EF" w:rsidRDefault="008F24EF">
      <w:pPr>
        <w:bidi/>
        <w:jc w:val="both"/>
        <w:rPr>
          <w:rtl/>
        </w:rPr>
      </w:pPr>
    </w:p>
    <w:p w:rsidR="008F24EF" w:rsidRDefault="008F24EF">
      <w:pPr>
        <w:bidi/>
        <w:jc w:val="both"/>
        <w:rPr>
          <w:rtl/>
        </w:rPr>
      </w:pPr>
      <w:r>
        <w:rPr>
          <w:rFonts w:hint="cs"/>
          <w:rtl/>
        </w:rPr>
        <w:t>*********************************************************************</w:t>
      </w:r>
    </w:p>
    <w:p w:rsidR="008F24EF" w:rsidRDefault="008F24EF">
      <w:pPr>
        <w:bidi/>
        <w:jc w:val="both"/>
        <w:rPr>
          <w:rtl/>
        </w:rPr>
      </w:pPr>
    </w:p>
    <w:p w:rsidR="008F24EF" w:rsidRDefault="008F24EF">
      <w:pPr>
        <w:bidi/>
        <w:jc w:val="both"/>
        <w:rPr>
          <w:b/>
          <w:bCs/>
          <w:rtl/>
        </w:rPr>
      </w:pPr>
    </w:p>
    <w:p w:rsidR="008F24EF" w:rsidRDefault="008F24EF">
      <w:pPr>
        <w:ind w:left="720" w:hanging="720"/>
        <w:jc w:val="both"/>
      </w:pPr>
    </w:p>
    <w:p w:rsidR="008F24EF" w:rsidRDefault="008F24EF">
      <w:pPr>
        <w:ind w:left="720" w:hanging="720"/>
        <w:jc w:val="both"/>
      </w:pPr>
      <w:r>
        <w:t xml:space="preserve">FREUD, S. (1914). On narcissism: An introduction. </w:t>
      </w:r>
      <w:r>
        <w:rPr>
          <w:u w:val="single"/>
        </w:rPr>
        <w:t>S.E.</w:t>
      </w:r>
      <w:r>
        <w:t>, 14:73-102.</w:t>
      </w:r>
    </w:p>
    <w:p w:rsidR="008F24EF" w:rsidRDefault="008F24EF">
      <w:pPr>
        <w:ind w:left="720" w:hanging="720"/>
        <w:jc w:val="both"/>
      </w:pPr>
    </w:p>
    <w:p w:rsidR="008F24EF" w:rsidRDefault="008F24EF">
      <w:pPr>
        <w:ind w:left="720" w:hanging="720"/>
        <w:jc w:val="both"/>
      </w:pPr>
      <w:r>
        <w:t xml:space="preserve">FREUD, S. (1915). </w:t>
      </w:r>
      <w:proofErr w:type="gramStart"/>
      <w:r>
        <w:t>Instincts and their vicissitudes.</w:t>
      </w:r>
      <w:proofErr w:type="gramEnd"/>
      <w:r>
        <w:t xml:space="preserve"> </w:t>
      </w:r>
      <w:r>
        <w:rPr>
          <w:u w:val="single"/>
        </w:rPr>
        <w:t>S.E.</w:t>
      </w:r>
      <w:r>
        <w:t>, 14:117-140.</w:t>
      </w:r>
    </w:p>
    <w:p w:rsidR="008F24EF" w:rsidRDefault="008F24EF">
      <w:pPr>
        <w:ind w:left="720" w:hanging="720"/>
        <w:jc w:val="both"/>
      </w:pPr>
    </w:p>
    <w:p w:rsidR="008F24EF" w:rsidRDefault="008F24EF">
      <w:pPr>
        <w:ind w:left="720" w:hanging="720"/>
        <w:jc w:val="both"/>
        <w:rPr>
          <w:u w:val="single"/>
        </w:rPr>
      </w:pPr>
      <w:r>
        <w:t xml:space="preserve">FREUD, S. (1915). </w:t>
      </w:r>
      <w:proofErr w:type="gramStart"/>
      <w:r>
        <w:t>Repression.</w:t>
      </w:r>
      <w:proofErr w:type="gramEnd"/>
      <w:r>
        <w:t xml:space="preserve"> </w:t>
      </w:r>
      <w:r>
        <w:rPr>
          <w:u w:val="single"/>
        </w:rPr>
        <w:t>S.E.</w:t>
      </w:r>
      <w:r>
        <w:t>, 14:146-158.</w:t>
      </w:r>
    </w:p>
    <w:p w:rsidR="008F24EF" w:rsidRDefault="008F24EF">
      <w:pPr>
        <w:ind w:left="720" w:hanging="720"/>
        <w:jc w:val="both"/>
        <w:rPr>
          <w:u w:val="single"/>
        </w:rPr>
      </w:pPr>
    </w:p>
    <w:p w:rsidR="008F24EF" w:rsidRDefault="008F24EF">
      <w:pPr>
        <w:ind w:left="720" w:hanging="720"/>
        <w:jc w:val="both"/>
      </w:pPr>
      <w:r>
        <w:t xml:space="preserve">FREUD, S. (1915). </w:t>
      </w:r>
      <w:proofErr w:type="gramStart"/>
      <w:r>
        <w:t>The unconscious.</w:t>
      </w:r>
      <w:proofErr w:type="gramEnd"/>
      <w:r>
        <w:t xml:space="preserve"> </w:t>
      </w:r>
      <w:r>
        <w:rPr>
          <w:u w:val="single"/>
        </w:rPr>
        <w:t>S.E.</w:t>
      </w:r>
      <w:r>
        <w:t>, 14:166-204.</w:t>
      </w:r>
    </w:p>
    <w:p w:rsidR="008F24EF" w:rsidRDefault="008F24EF">
      <w:pPr>
        <w:ind w:left="720" w:hanging="720"/>
        <w:jc w:val="both"/>
      </w:pPr>
    </w:p>
    <w:p w:rsidR="00D53152" w:rsidRDefault="00D53152">
      <w:pPr>
        <w:ind w:left="720" w:hanging="720"/>
        <w:jc w:val="both"/>
      </w:pPr>
      <w:proofErr w:type="gramStart"/>
      <w:r w:rsidRPr="00D53152">
        <w:t>FREUD, S. (1917) Mourning and m</w:t>
      </w:r>
      <w:r>
        <w:t>elancholia.</w:t>
      </w:r>
      <w:proofErr w:type="gramEnd"/>
      <w:r>
        <w:t xml:space="preserve"> S.E., 14:243-258.</w:t>
      </w:r>
    </w:p>
    <w:p w:rsidR="00D53152" w:rsidRPr="00D53152" w:rsidRDefault="00D53152">
      <w:pPr>
        <w:ind w:left="720" w:hanging="720"/>
        <w:jc w:val="both"/>
      </w:pPr>
    </w:p>
    <w:p w:rsidR="008F24EF" w:rsidRDefault="008F24EF">
      <w:pPr>
        <w:ind w:left="720" w:hanging="720"/>
        <w:jc w:val="both"/>
        <w:rPr>
          <w:u w:val="single"/>
        </w:rPr>
      </w:pPr>
      <w:r w:rsidRPr="00D53152">
        <w:rPr>
          <w:lang w:val="de-DE"/>
        </w:rPr>
        <w:t xml:space="preserve">FREUD, S. (1920). </w:t>
      </w:r>
      <w:proofErr w:type="gramStart"/>
      <w:r>
        <w:t>Beyond the pleasure principle.</w:t>
      </w:r>
      <w:proofErr w:type="gramEnd"/>
      <w:r>
        <w:t xml:space="preserve"> </w:t>
      </w:r>
      <w:r>
        <w:rPr>
          <w:u w:val="single"/>
        </w:rPr>
        <w:t>S.E.</w:t>
      </w:r>
      <w:r>
        <w:t>, 18:7-64.</w:t>
      </w:r>
    </w:p>
    <w:p w:rsidR="008F24EF" w:rsidRDefault="008F24EF">
      <w:pPr>
        <w:ind w:left="720" w:hanging="720"/>
        <w:jc w:val="both"/>
        <w:rPr>
          <w:u w:val="single"/>
        </w:rPr>
      </w:pPr>
    </w:p>
    <w:p w:rsidR="008F24EF" w:rsidRDefault="008F24EF">
      <w:pPr>
        <w:ind w:left="720" w:hanging="720"/>
        <w:jc w:val="both"/>
      </w:pPr>
      <w:r>
        <w:t xml:space="preserve">FREUD, S. (1923). </w:t>
      </w:r>
      <w:proofErr w:type="gramStart"/>
      <w:r>
        <w:t>The ego and the id.</w:t>
      </w:r>
      <w:proofErr w:type="gramEnd"/>
      <w:r>
        <w:t xml:space="preserve"> </w:t>
      </w:r>
      <w:r>
        <w:rPr>
          <w:u w:val="single"/>
        </w:rPr>
        <w:t>S.E.</w:t>
      </w:r>
      <w:r>
        <w:t>, 19:12-66.</w:t>
      </w:r>
    </w:p>
    <w:p w:rsidR="008F24EF" w:rsidRDefault="008F24EF">
      <w:pPr>
        <w:jc w:val="both"/>
        <w:rPr>
          <w:rtl/>
        </w:rPr>
      </w:pPr>
    </w:p>
    <w:sectPr w:rsidR="008F24EF" w:rsidSect="0078011D">
      <w:headerReference w:type="default" r:id="rId7"/>
      <w:pgSz w:w="11906" w:h="16838"/>
      <w:pgMar w:top="1440" w:right="1800" w:bottom="1440" w:left="180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626" w:rsidRDefault="00EE4626">
      <w:r>
        <w:separator/>
      </w:r>
    </w:p>
  </w:endnote>
  <w:endnote w:type="continuationSeparator" w:id="0">
    <w:p w:rsidR="00EE4626" w:rsidRDefault="00EE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626" w:rsidRDefault="00EE4626">
      <w:r>
        <w:separator/>
      </w:r>
    </w:p>
  </w:footnote>
  <w:footnote w:type="continuationSeparator" w:id="0">
    <w:p w:rsidR="00EE4626" w:rsidRDefault="00EE4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4EF" w:rsidRDefault="008F24EF">
    <w:pPr>
      <w:pStyle w:val="a3"/>
      <w:bidi/>
      <w:jc w:val="left"/>
      <w:rPr>
        <w:rFonts w:ascii="Verdana" w:hAnsi="Verdana" w:cs="Arial"/>
        <w:b/>
        <w:bCs/>
        <w:i/>
        <w:iCs/>
        <w:color w:val="000080"/>
        <w:sz w:val="32"/>
        <w:szCs w:val="32"/>
        <w:rtl/>
      </w:rPr>
    </w:pPr>
    <w:r>
      <w:rPr>
        <w:rFonts w:ascii="Verdana" w:hAnsi="Verdana" w:cs="Arial"/>
        <w:b/>
        <w:bCs/>
        <w:i/>
        <w:iCs/>
        <w:color w:val="000080"/>
        <w:sz w:val="32"/>
        <w:szCs w:val="32"/>
        <w:rtl/>
      </w:rPr>
      <w:t>פרופ' שמואל ארליך</w:t>
    </w:r>
  </w:p>
  <w:p w:rsidR="008F24EF" w:rsidRDefault="008F24EF">
    <w:pPr>
      <w:pStyle w:val="a3"/>
      <w:bidi/>
      <w:jc w:val="left"/>
      <w:rPr>
        <w:i/>
        <w:iCs/>
        <w:color w:val="000080"/>
        <w:sz w:val="22"/>
        <w:szCs w:val="22"/>
      </w:rPr>
    </w:pPr>
    <w:r>
      <w:rPr>
        <w:rFonts w:ascii="Verdana" w:hAnsi="Verdana" w:cs="Arial"/>
        <w:i/>
        <w:iCs/>
        <w:color w:val="000080"/>
        <w:sz w:val="22"/>
        <w:szCs w:val="22"/>
        <w:rtl/>
      </w:rPr>
      <w:t>פסיכולוג קליני ופסיכואנליטיקאי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5"/>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en-US" w:vendorID="64" w:dllVersion="0" w:nlCheck="1" w:checkStyle="0"/>
  <w:activeWritingStyle w:appName="MSWord" w:lang="de-DE" w:vendorID="64" w:dllVersion="0" w:nlCheck="1" w:checkStyle="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C9"/>
    <w:rsid w:val="00031E7B"/>
    <w:rsid w:val="000A20E9"/>
    <w:rsid w:val="003307D6"/>
    <w:rsid w:val="004E5221"/>
    <w:rsid w:val="00521E6C"/>
    <w:rsid w:val="00544421"/>
    <w:rsid w:val="005601DD"/>
    <w:rsid w:val="005E1515"/>
    <w:rsid w:val="006D4914"/>
    <w:rsid w:val="00713238"/>
    <w:rsid w:val="00753028"/>
    <w:rsid w:val="007630EF"/>
    <w:rsid w:val="0078010C"/>
    <w:rsid w:val="0078011D"/>
    <w:rsid w:val="00826E0A"/>
    <w:rsid w:val="008328F7"/>
    <w:rsid w:val="008B60C6"/>
    <w:rsid w:val="008F24EF"/>
    <w:rsid w:val="00945F8E"/>
    <w:rsid w:val="009710A8"/>
    <w:rsid w:val="00A21E61"/>
    <w:rsid w:val="00A875C9"/>
    <w:rsid w:val="00B33FB3"/>
    <w:rsid w:val="00BD4B33"/>
    <w:rsid w:val="00CF3631"/>
    <w:rsid w:val="00D16CE5"/>
    <w:rsid w:val="00D53152"/>
    <w:rsid w:val="00D746F3"/>
    <w:rsid w:val="00E11F1B"/>
    <w:rsid w:val="00EA7F5E"/>
    <w:rsid w:val="00EE4626"/>
    <w:rsid w:val="00F45E62"/>
    <w:rsid w:val="00F55B39"/>
    <w:rsid w:val="00FB4BF8"/>
    <w:rsid w:val="00FF45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8F7"/>
    <w:rPr>
      <w:sz w:val="24"/>
      <w:szCs w:val="24"/>
    </w:rPr>
  </w:style>
  <w:style w:type="paragraph" w:styleId="2">
    <w:name w:val="heading 2"/>
    <w:basedOn w:val="a"/>
    <w:next w:val="a"/>
    <w:qFormat/>
    <w:pPr>
      <w:keepNext/>
      <w:bidi/>
      <w:ind w:left="113"/>
      <w:outlineLvl w:val="1"/>
    </w:pPr>
    <w:rPr>
      <w:rFonts w:cs="David"/>
      <w:b/>
      <w:bCs/>
      <w:lang w:eastAsia="he-IL"/>
    </w:rPr>
  </w:style>
  <w:style w:type="paragraph" w:styleId="3">
    <w:name w:val="heading 3"/>
    <w:basedOn w:val="a"/>
    <w:next w:val="a"/>
    <w:qFormat/>
    <w:pPr>
      <w:keepNext/>
      <w:bidi/>
      <w:ind w:left="284" w:hanging="284"/>
      <w:outlineLvl w:val="2"/>
    </w:pPr>
    <w:rPr>
      <w:rFonts w:ascii="Arial" w:hAnsi="Arial" w:cs="David"/>
      <w:b/>
      <w:bCs/>
      <w:sz w:val="22"/>
      <w:szCs w:val="22"/>
      <w:lang w:eastAsia="he-IL"/>
    </w:rPr>
  </w:style>
  <w:style w:type="paragraph" w:styleId="4">
    <w:name w:val="heading 4"/>
    <w:basedOn w:val="a"/>
    <w:next w:val="a"/>
    <w:qFormat/>
    <w:pPr>
      <w:keepNext/>
      <w:tabs>
        <w:tab w:val="left" w:pos="2181"/>
        <w:tab w:val="left" w:pos="3441"/>
        <w:tab w:val="left" w:pos="5601"/>
        <w:tab w:val="left" w:pos="7041"/>
        <w:tab w:val="left" w:pos="8481"/>
      </w:tabs>
      <w:bidi/>
      <w:outlineLvl w:val="3"/>
    </w:pPr>
    <w:rPr>
      <w:rFonts w:cs="David"/>
      <w:b/>
      <w:bCs/>
    </w:rPr>
  </w:style>
  <w:style w:type="paragraph" w:styleId="6">
    <w:name w:val="heading 6"/>
    <w:basedOn w:val="a"/>
    <w:next w:val="a"/>
    <w:qFormat/>
    <w:pPr>
      <w:keepNext/>
      <w:bidi/>
      <w:outlineLvl w:val="5"/>
    </w:pPr>
    <w:rPr>
      <w:rFonts w:cs="David"/>
      <w:b/>
      <w:bCs/>
      <w:color w:val="339966"/>
      <w:sz w:val="16"/>
      <w:szCs w:val="1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jc w:val="right"/>
    </w:pPr>
  </w:style>
  <w:style w:type="paragraph" w:styleId="a4">
    <w:name w:val="footer"/>
    <w:basedOn w:val="a"/>
    <w:semiHidden/>
    <w:pPr>
      <w:tabs>
        <w:tab w:val="center" w:pos="4153"/>
        <w:tab w:val="right" w:pos="8306"/>
      </w:tabs>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8F7"/>
    <w:rPr>
      <w:sz w:val="24"/>
      <w:szCs w:val="24"/>
    </w:rPr>
  </w:style>
  <w:style w:type="paragraph" w:styleId="2">
    <w:name w:val="heading 2"/>
    <w:basedOn w:val="a"/>
    <w:next w:val="a"/>
    <w:qFormat/>
    <w:pPr>
      <w:keepNext/>
      <w:bidi/>
      <w:ind w:left="113"/>
      <w:outlineLvl w:val="1"/>
    </w:pPr>
    <w:rPr>
      <w:rFonts w:cs="David"/>
      <w:b/>
      <w:bCs/>
      <w:lang w:eastAsia="he-IL"/>
    </w:rPr>
  </w:style>
  <w:style w:type="paragraph" w:styleId="3">
    <w:name w:val="heading 3"/>
    <w:basedOn w:val="a"/>
    <w:next w:val="a"/>
    <w:qFormat/>
    <w:pPr>
      <w:keepNext/>
      <w:bidi/>
      <w:ind w:left="284" w:hanging="284"/>
      <w:outlineLvl w:val="2"/>
    </w:pPr>
    <w:rPr>
      <w:rFonts w:ascii="Arial" w:hAnsi="Arial" w:cs="David"/>
      <w:b/>
      <w:bCs/>
      <w:sz w:val="22"/>
      <w:szCs w:val="22"/>
      <w:lang w:eastAsia="he-IL"/>
    </w:rPr>
  </w:style>
  <w:style w:type="paragraph" w:styleId="4">
    <w:name w:val="heading 4"/>
    <w:basedOn w:val="a"/>
    <w:next w:val="a"/>
    <w:qFormat/>
    <w:pPr>
      <w:keepNext/>
      <w:tabs>
        <w:tab w:val="left" w:pos="2181"/>
        <w:tab w:val="left" w:pos="3441"/>
        <w:tab w:val="left" w:pos="5601"/>
        <w:tab w:val="left" w:pos="7041"/>
        <w:tab w:val="left" w:pos="8481"/>
      </w:tabs>
      <w:bidi/>
      <w:outlineLvl w:val="3"/>
    </w:pPr>
    <w:rPr>
      <w:rFonts w:cs="David"/>
      <w:b/>
      <w:bCs/>
    </w:rPr>
  </w:style>
  <w:style w:type="paragraph" w:styleId="6">
    <w:name w:val="heading 6"/>
    <w:basedOn w:val="a"/>
    <w:next w:val="a"/>
    <w:qFormat/>
    <w:pPr>
      <w:keepNext/>
      <w:bidi/>
      <w:outlineLvl w:val="5"/>
    </w:pPr>
    <w:rPr>
      <w:rFonts w:cs="David"/>
      <w:b/>
      <w:bCs/>
      <w:color w:val="339966"/>
      <w:sz w:val="16"/>
      <w:szCs w:val="1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jc w:val="right"/>
    </w:pPr>
  </w:style>
  <w:style w:type="paragraph" w:styleId="a4">
    <w:name w:val="footer"/>
    <w:basedOn w:val="a"/>
    <w:semiHidden/>
    <w:pPr>
      <w:tabs>
        <w:tab w:val="center" w:pos="4153"/>
        <w:tab w:val="right" w:pos="8306"/>
      </w:tabs>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muel.EHRLICH-HOME\Application%20Data\Microsoft\Templates\letterheadHebrew.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letterheadHebrew</Template>
  <TotalTime>2</TotalTime>
  <Pages>1</Pages>
  <Words>256</Words>
  <Characters>1280</Characters>
  <Application>Microsoft Office Word</Application>
  <DocSecurity>0</DocSecurity>
  <Lines>10</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התפתחות מחשבת פרויד</vt:lpstr>
      <vt:lpstr>התפתחות מחשבת פרויד</vt:lpstr>
    </vt:vector>
  </TitlesOfParts>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התפתחות מחשבת פרויד</dc:title>
  <dc:creator>Erlich</dc:creator>
  <cp:lastModifiedBy>נורית</cp:lastModifiedBy>
  <cp:revision>3</cp:revision>
  <cp:lastPrinted>1900-12-31T22:00:00Z</cp:lastPrinted>
  <dcterms:created xsi:type="dcterms:W3CDTF">2021-02-18T13:21:00Z</dcterms:created>
  <dcterms:modified xsi:type="dcterms:W3CDTF">2021-02-18T13:55:00Z</dcterms:modified>
</cp:coreProperties>
</file>