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B2" w:rsidRPr="00746084" w:rsidRDefault="00A56BB2" w:rsidP="00A56BB2">
      <w:pPr>
        <w:tabs>
          <w:tab w:val="left" w:pos="5896"/>
        </w:tabs>
        <w:rPr>
          <w:rFonts w:eastAsia="Times New Roman" w:cs="David"/>
          <w:sz w:val="22"/>
          <w:szCs w:val="22"/>
          <w:rtl/>
          <w:lang w:eastAsia="en-US"/>
        </w:rPr>
      </w:pPr>
      <w:bookmarkStart w:id="0" w:name="_GoBack"/>
      <w:bookmarkEnd w:id="0"/>
      <w:r w:rsidRPr="00746084">
        <w:rPr>
          <w:rFonts w:eastAsia="Times New Roman" w:cs="David" w:hint="cs"/>
          <w:sz w:val="22"/>
          <w:szCs w:val="22"/>
          <w:rtl/>
          <w:lang w:eastAsia="en-US"/>
        </w:rPr>
        <w:t>המכון הישראלי לפסיכואנליזה</w:t>
      </w:r>
      <w:r w:rsidRPr="00746084">
        <w:rPr>
          <w:rFonts w:eastAsia="Times New Roman" w:cs="David" w:hint="cs"/>
          <w:sz w:val="22"/>
          <w:szCs w:val="22"/>
          <w:rtl/>
          <w:lang w:eastAsia="en-US"/>
        </w:rPr>
        <w:tab/>
        <w:t>איתמר לוריא</w:t>
      </w:r>
    </w:p>
    <w:p w:rsidR="00A56BB2" w:rsidRPr="00746084" w:rsidRDefault="004827E5" w:rsidP="00A56BB2">
      <w:pPr>
        <w:tabs>
          <w:tab w:val="left" w:pos="5896"/>
        </w:tabs>
        <w:rPr>
          <w:sz w:val="22"/>
          <w:szCs w:val="22"/>
          <w:rtl/>
        </w:rPr>
      </w:pPr>
      <w:r>
        <w:rPr>
          <w:rFonts w:eastAsia="Times New Roman" w:cs="David" w:hint="cs"/>
          <w:sz w:val="22"/>
          <w:szCs w:val="22"/>
          <w:rtl/>
          <w:lang w:eastAsia="en-US"/>
        </w:rPr>
        <w:t xml:space="preserve">2021-2020 </w:t>
      </w:r>
      <w:r w:rsidR="00A56BB2" w:rsidRPr="00746084">
        <w:rPr>
          <w:rFonts w:eastAsia="Times New Roman" w:cs="David" w:hint="cs"/>
          <w:sz w:val="22"/>
          <w:szCs w:val="22"/>
          <w:rtl/>
          <w:lang w:eastAsia="en-US"/>
        </w:rPr>
        <w:t>סמסטר ב</w:t>
      </w:r>
      <w:r w:rsidR="00A56BB2" w:rsidRPr="00746084">
        <w:rPr>
          <w:rFonts w:eastAsia="Times New Roman" w:cs="David" w:hint="cs"/>
          <w:b/>
          <w:bCs/>
          <w:sz w:val="22"/>
          <w:szCs w:val="22"/>
          <w:rtl/>
          <w:lang w:eastAsia="en-US"/>
        </w:rPr>
        <w:tab/>
      </w:r>
      <w:r w:rsidR="00A56BB2" w:rsidRPr="00746084">
        <w:rPr>
          <w:rFonts w:hint="cs"/>
          <w:sz w:val="22"/>
          <w:szCs w:val="22"/>
          <w:rtl/>
        </w:rPr>
        <w:t>טל: 0505672782</w:t>
      </w:r>
    </w:p>
    <w:p w:rsidR="00A56BB2" w:rsidRPr="00746084" w:rsidRDefault="00A56BB2" w:rsidP="00A56BB2">
      <w:pPr>
        <w:tabs>
          <w:tab w:val="left" w:pos="5896"/>
        </w:tabs>
        <w:rPr>
          <w:sz w:val="22"/>
          <w:szCs w:val="22"/>
        </w:rPr>
      </w:pPr>
      <w:r w:rsidRPr="00746084">
        <w:rPr>
          <w:rFonts w:eastAsia="Times New Roman" w:cs="David" w:hint="cs"/>
          <w:b/>
          <w:bCs/>
          <w:sz w:val="22"/>
          <w:szCs w:val="22"/>
          <w:rtl/>
          <w:lang w:eastAsia="en-US"/>
        </w:rPr>
        <w:t xml:space="preserve">    </w:t>
      </w:r>
      <w:r w:rsidRPr="00746084">
        <w:rPr>
          <w:rFonts w:eastAsia="Times New Roman" w:cs="David" w:hint="cs"/>
          <w:b/>
          <w:bCs/>
          <w:sz w:val="22"/>
          <w:szCs w:val="22"/>
          <w:rtl/>
          <w:lang w:eastAsia="en-US"/>
        </w:rPr>
        <w:tab/>
      </w:r>
      <w:r w:rsidRPr="00746084">
        <w:rPr>
          <w:sz w:val="22"/>
          <w:szCs w:val="22"/>
        </w:rPr>
        <w:t>itamar.lurie@gmail.com</w:t>
      </w:r>
    </w:p>
    <w:p w:rsidR="00A56BB2" w:rsidRPr="00567A23" w:rsidRDefault="00A56BB2" w:rsidP="00A56BB2">
      <w:pPr>
        <w:rPr>
          <w:rFonts w:eastAsia="Times New Roman" w:cs="David"/>
          <w:b/>
          <w:bCs/>
          <w:sz w:val="22"/>
          <w:szCs w:val="22"/>
          <w:rtl/>
          <w:lang w:eastAsia="en-US"/>
        </w:rPr>
      </w:pPr>
    </w:p>
    <w:p w:rsidR="00A56BB2" w:rsidRPr="00746084" w:rsidRDefault="00A56BB2" w:rsidP="00A56BB2">
      <w:pPr>
        <w:spacing w:line="360" w:lineRule="auto"/>
        <w:jc w:val="center"/>
        <w:rPr>
          <w:rFonts w:eastAsia="Times New Roman" w:cs="David"/>
          <w:b/>
          <w:bCs/>
          <w:sz w:val="22"/>
          <w:szCs w:val="22"/>
          <w:rtl/>
          <w:lang w:eastAsia="en-US"/>
        </w:rPr>
      </w:pPr>
      <w:r w:rsidRPr="00746084">
        <w:rPr>
          <w:rFonts w:eastAsia="Times New Roman" w:cs="David" w:hint="cs"/>
          <w:b/>
          <w:bCs/>
          <w:sz w:val="22"/>
          <w:szCs w:val="22"/>
          <w:rtl/>
          <w:lang w:eastAsia="en-US"/>
        </w:rPr>
        <w:t>מאמרים טכניים קליניים של פרויד</w:t>
      </w:r>
    </w:p>
    <w:p w:rsidR="003A397F" w:rsidRDefault="00A56BB2" w:rsidP="003A397F">
      <w:pPr>
        <w:jc w:val="center"/>
        <w:rPr>
          <w:rFonts w:eastAsia="Times New Roman" w:cs="David"/>
          <w:sz w:val="22"/>
          <w:szCs w:val="22"/>
          <w:rtl/>
          <w:lang w:eastAsia="en-US"/>
        </w:rPr>
      </w:pPr>
      <w:r w:rsidRPr="00746084">
        <w:rPr>
          <w:rFonts w:eastAsia="Times New Roman" w:cs="David" w:hint="cs"/>
          <w:sz w:val="22"/>
          <w:szCs w:val="22"/>
          <w:rtl/>
          <w:lang w:eastAsia="en-US"/>
        </w:rPr>
        <w:t>ד"ר איתמר לוריא</w:t>
      </w:r>
    </w:p>
    <w:p w:rsidR="00A56BB2" w:rsidRPr="00746084" w:rsidRDefault="00A56BB2" w:rsidP="00236F54">
      <w:pPr>
        <w:rPr>
          <w:sz w:val="22"/>
          <w:szCs w:val="22"/>
          <w:rtl/>
        </w:rPr>
      </w:pPr>
    </w:p>
    <w:p w:rsidR="00A56BB2" w:rsidRPr="00746084" w:rsidRDefault="00A56BB2" w:rsidP="00236F54">
      <w:pPr>
        <w:rPr>
          <w:sz w:val="22"/>
          <w:szCs w:val="22"/>
          <w:rtl/>
        </w:rPr>
      </w:pPr>
    </w:p>
    <w:p w:rsidR="00236F54" w:rsidRPr="00746084" w:rsidRDefault="004827E5" w:rsidP="000D3CDF">
      <w:pPr>
        <w:spacing w:line="276" w:lineRule="auto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סמינר</w:t>
      </w:r>
      <w:r w:rsidR="00B0747D" w:rsidRPr="00746084">
        <w:rPr>
          <w:rFonts w:cs="David" w:hint="cs"/>
          <w:sz w:val="22"/>
          <w:szCs w:val="22"/>
          <w:rtl/>
        </w:rPr>
        <w:t xml:space="preserve"> זה מתמקד במאמרים </w:t>
      </w:r>
      <w:r w:rsidR="003D074B" w:rsidRPr="00746084">
        <w:rPr>
          <w:rFonts w:cs="David" w:hint="cs"/>
          <w:sz w:val="22"/>
          <w:szCs w:val="22"/>
          <w:rtl/>
        </w:rPr>
        <w:t xml:space="preserve">של פרויד </w:t>
      </w:r>
      <w:r w:rsidR="00B0747D" w:rsidRPr="00746084">
        <w:rPr>
          <w:rFonts w:cs="David" w:hint="cs"/>
          <w:sz w:val="22"/>
          <w:szCs w:val="22"/>
          <w:rtl/>
        </w:rPr>
        <w:t>העוסקים בסוגיות טכניות בטיפול הפסיכואנליטי</w:t>
      </w:r>
      <w:r w:rsidR="003D074B" w:rsidRPr="00746084">
        <w:rPr>
          <w:rFonts w:cs="David" w:hint="cs"/>
          <w:sz w:val="22"/>
          <w:szCs w:val="22"/>
          <w:rtl/>
        </w:rPr>
        <w:t>.</w:t>
      </w:r>
      <w:r w:rsidR="00F345C9" w:rsidRPr="00746084">
        <w:rPr>
          <w:rFonts w:cs="David" w:hint="cs"/>
          <w:sz w:val="22"/>
          <w:szCs w:val="22"/>
          <w:rtl/>
        </w:rPr>
        <w:t xml:space="preserve">  מטרת </w:t>
      </w:r>
      <w:r>
        <w:rPr>
          <w:rFonts w:cs="David" w:hint="cs"/>
          <w:sz w:val="22"/>
          <w:szCs w:val="22"/>
          <w:rtl/>
        </w:rPr>
        <w:t>הסמינר</w:t>
      </w:r>
      <w:r w:rsidR="00F345C9" w:rsidRPr="00746084">
        <w:rPr>
          <w:rFonts w:cs="David" w:hint="cs"/>
          <w:sz w:val="22"/>
          <w:szCs w:val="22"/>
          <w:rtl/>
        </w:rPr>
        <w:t xml:space="preserve"> ליצור דיאלוג עכשווי ורלוונטי בין מחשבותיו של פרויד לבין הפרקטיקה הפסיכואנליטית של המשתתפים ב</w:t>
      </w:r>
      <w:r>
        <w:rPr>
          <w:rFonts w:cs="David" w:hint="cs"/>
          <w:sz w:val="22"/>
          <w:szCs w:val="22"/>
          <w:rtl/>
        </w:rPr>
        <w:t>סמינר</w:t>
      </w:r>
      <w:r w:rsidR="00F345C9" w:rsidRPr="00746084">
        <w:rPr>
          <w:rFonts w:cs="David" w:hint="cs"/>
          <w:sz w:val="22"/>
          <w:szCs w:val="22"/>
          <w:rtl/>
        </w:rPr>
        <w:t>.  במסגרת ה</w:t>
      </w:r>
      <w:r>
        <w:rPr>
          <w:rFonts w:cs="David" w:hint="cs"/>
          <w:sz w:val="22"/>
          <w:szCs w:val="22"/>
          <w:rtl/>
        </w:rPr>
        <w:t>סמינר</w:t>
      </w:r>
      <w:r w:rsidR="00F345C9" w:rsidRPr="00746084">
        <w:rPr>
          <w:rFonts w:cs="David" w:hint="cs"/>
          <w:sz w:val="22"/>
          <w:szCs w:val="22"/>
          <w:rtl/>
        </w:rPr>
        <w:t xml:space="preserve"> נקרא בעיקר את המאמרים המופיעים בקובץ </w:t>
      </w:r>
      <w:r w:rsidR="00F345C9" w:rsidRPr="00746084">
        <w:rPr>
          <w:rFonts w:cs="David" w:hint="cs"/>
          <w:sz w:val="22"/>
          <w:szCs w:val="22"/>
          <w:u w:val="single"/>
          <w:rtl/>
        </w:rPr>
        <w:t>הטיפול הפסיכואנליטי</w:t>
      </w:r>
      <w:r w:rsidR="00F345C9" w:rsidRPr="00746084">
        <w:rPr>
          <w:rFonts w:cs="David" w:hint="cs"/>
          <w:sz w:val="22"/>
          <w:szCs w:val="22"/>
          <w:rtl/>
        </w:rPr>
        <w:t>,  בע</w:t>
      </w:r>
      <w:r w:rsidR="00B00DBE">
        <w:rPr>
          <w:rFonts w:cs="David" w:hint="cs"/>
          <w:sz w:val="22"/>
          <w:szCs w:val="22"/>
          <w:rtl/>
        </w:rPr>
        <w:t>ריכת עמנואל ברמן, עם עובד 2002,</w:t>
      </w:r>
      <w:r w:rsidR="00AE0D71">
        <w:rPr>
          <w:rFonts w:cs="David" w:hint="cs"/>
          <w:sz w:val="22"/>
          <w:szCs w:val="22"/>
          <w:rtl/>
        </w:rPr>
        <w:t xml:space="preserve"> ונתייחס לשלושה</w:t>
      </w:r>
      <w:r w:rsidR="00D37AC2">
        <w:rPr>
          <w:rFonts w:cs="David" w:hint="cs"/>
          <w:sz w:val="22"/>
          <w:szCs w:val="22"/>
          <w:rtl/>
        </w:rPr>
        <w:t xml:space="preserve"> ת</w:t>
      </w:r>
      <w:r>
        <w:rPr>
          <w:rFonts w:cs="David" w:hint="cs"/>
          <w:sz w:val="22"/>
          <w:szCs w:val="22"/>
          <w:rtl/>
        </w:rPr>
        <w:t>י</w:t>
      </w:r>
      <w:r w:rsidR="00D37AC2">
        <w:rPr>
          <w:rFonts w:cs="David" w:hint="cs"/>
          <w:sz w:val="22"/>
          <w:szCs w:val="22"/>
          <w:rtl/>
        </w:rPr>
        <w:t>אורי מקרה</w:t>
      </w:r>
      <w:r w:rsidR="00B00DBE">
        <w:rPr>
          <w:rFonts w:cs="David" w:hint="cs"/>
          <w:sz w:val="22"/>
          <w:szCs w:val="22"/>
          <w:rtl/>
        </w:rPr>
        <w:t xml:space="preserve"> של פרויד. </w:t>
      </w:r>
      <w:r w:rsidR="00F345C9" w:rsidRPr="00746084">
        <w:rPr>
          <w:rFonts w:cs="David" w:hint="cs"/>
          <w:sz w:val="22"/>
          <w:szCs w:val="22"/>
          <w:rtl/>
        </w:rPr>
        <w:t xml:space="preserve"> אני ממליץ לקרוא הן את ההקדמה הדחוסה של עמנואל ברמן ("המסע הארוך") ו</w:t>
      </w:r>
      <w:r w:rsidR="00C27DFD" w:rsidRPr="00746084">
        <w:rPr>
          <w:rFonts w:cs="David" w:hint="cs"/>
          <w:sz w:val="22"/>
          <w:szCs w:val="22"/>
          <w:rtl/>
        </w:rPr>
        <w:t>הן את מאמרו של</w:t>
      </w:r>
      <w:r w:rsidR="00F345C9" w:rsidRPr="00746084">
        <w:rPr>
          <w:rFonts w:cs="David" w:hint="cs"/>
          <w:sz w:val="22"/>
          <w:szCs w:val="22"/>
          <w:rtl/>
        </w:rPr>
        <w:t xml:space="preserve"> המתרגם- ערן רולניק</w:t>
      </w:r>
      <w:r w:rsidR="00C27DFD" w:rsidRPr="00746084">
        <w:rPr>
          <w:rFonts w:cs="David" w:hint="cs"/>
          <w:sz w:val="22"/>
          <w:szCs w:val="22"/>
          <w:rtl/>
        </w:rPr>
        <w:t xml:space="preserve"> ("בין טכניקה לאתיקה...")</w:t>
      </w:r>
      <w:r w:rsidR="00F345C9" w:rsidRPr="00746084">
        <w:rPr>
          <w:rFonts w:cs="David" w:hint="cs"/>
          <w:sz w:val="22"/>
          <w:szCs w:val="22"/>
          <w:rtl/>
        </w:rPr>
        <w:t xml:space="preserve"> כחומר רקע </w:t>
      </w:r>
      <w:r w:rsidR="000D3CDF">
        <w:rPr>
          <w:rFonts w:cs="David" w:hint="cs"/>
          <w:sz w:val="22"/>
          <w:szCs w:val="22"/>
          <w:rtl/>
        </w:rPr>
        <w:t>לסמינר</w:t>
      </w:r>
      <w:r w:rsidR="00F345C9" w:rsidRPr="00746084">
        <w:rPr>
          <w:rFonts w:cs="David" w:hint="cs"/>
          <w:sz w:val="22"/>
          <w:szCs w:val="22"/>
          <w:rtl/>
        </w:rPr>
        <w:t>.</w:t>
      </w:r>
    </w:p>
    <w:p w:rsidR="00F345C9" w:rsidRPr="00746084" w:rsidRDefault="00F345C9" w:rsidP="00A56BB2">
      <w:pPr>
        <w:spacing w:line="276" w:lineRule="auto"/>
        <w:rPr>
          <w:rFonts w:cs="David"/>
          <w:sz w:val="22"/>
          <w:szCs w:val="22"/>
          <w:rtl/>
        </w:rPr>
      </w:pPr>
    </w:p>
    <w:p w:rsidR="005F0497" w:rsidRDefault="00F345C9" w:rsidP="000D3CDF">
      <w:pPr>
        <w:spacing w:line="276" w:lineRule="auto"/>
        <w:rPr>
          <w:rFonts w:cs="David"/>
          <w:sz w:val="22"/>
          <w:szCs w:val="22"/>
          <w:rtl/>
        </w:rPr>
      </w:pPr>
      <w:r w:rsidRPr="00746084">
        <w:rPr>
          <w:rFonts w:cs="David" w:hint="cs"/>
          <w:sz w:val="22"/>
          <w:szCs w:val="22"/>
          <w:rtl/>
        </w:rPr>
        <w:t xml:space="preserve">אופן התנהלות </w:t>
      </w:r>
      <w:r w:rsidR="000D3CDF">
        <w:rPr>
          <w:rFonts w:cs="David" w:hint="cs"/>
          <w:sz w:val="22"/>
          <w:szCs w:val="22"/>
          <w:rtl/>
        </w:rPr>
        <w:t>הסמינר</w:t>
      </w:r>
      <w:r w:rsidRPr="00746084">
        <w:rPr>
          <w:rFonts w:cs="David" w:hint="cs"/>
          <w:sz w:val="22"/>
          <w:szCs w:val="22"/>
          <w:rtl/>
        </w:rPr>
        <w:t xml:space="preserve">: נתחיל את הפגישות בזמן. </w:t>
      </w:r>
      <w:r w:rsidR="00D91C60">
        <w:rPr>
          <w:rFonts w:cs="David" w:hint="cs"/>
          <w:sz w:val="22"/>
          <w:szCs w:val="22"/>
          <w:rtl/>
        </w:rPr>
        <w:t xml:space="preserve">כעת </w:t>
      </w:r>
      <w:r w:rsidR="005F0497">
        <w:rPr>
          <w:rFonts w:cs="David" w:hint="cs"/>
          <w:sz w:val="22"/>
          <w:szCs w:val="22"/>
          <w:rtl/>
        </w:rPr>
        <w:t>נראה שנתחיל את הסמסטר בפגישות דרך הזום. אבקש שהמצלמות יהיו פתוחות. אשאף שבכל שעור יתקיים גם דיון בקבוצות קטנות על סוגיות העולו</w:t>
      </w:r>
      <w:r w:rsidR="00D91C60">
        <w:rPr>
          <w:rFonts w:cs="David" w:hint="cs"/>
          <w:sz w:val="22"/>
          <w:szCs w:val="22"/>
          <w:rtl/>
        </w:rPr>
        <w:t>ת מתוך חומר הקריאה</w:t>
      </w:r>
      <w:r w:rsidR="005F0497">
        <w:rPr>
          <w:rFonts w:cs="David" w:hint="cs"/>
          <w:sz w:val="22"/>
          <w:szCs w:val="22"/>
          <w:rtl/>
        </w:rPr>
        <w:t>.</w:t>
      </w:r>
    </w:p>
    <w:p w:rsidR="005F0497" w:rsidRDefault="005F0497" w:rsidP="005F0497">
      <w:pPr>
        <w:spacing w:line="276" w:lineRule="auto"/>
        <w:rPr>
          <w:rFonts w:cs="David"/>
          <w:sz w:val="22"/>
          <w:szCs w:val="22"/>
          <w:rtl/>
        </w:rPr>
      </w:pPr>
    </w:p>
    <w:p w:rsidR="008931A7" w:rsidRPr="00746084" w:rsidRDefault="00D91C60" w:rsidP="005F0497">
      <w:pPr>
        <w:spacing w:line="276" w:lineRule="auto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ב</w:t>
      </w:r>
      <w:r w:rsidR="00F345C9" w:rsidRPr="00746084">
        <w:rPr>
          <w:rFonts w:cs="David" w:hint="cs"/>
          <w:sz w:val="22"/>
          <w:szCs w:val="22"/>
          <w:rtl/>
        </w:rPr>
        <w:t xml:space="preserve">כל </w:t>
      </w:r>
      <w:r w:rsidR="008B2C1A" w:rsidRPr="00746084">
        <w:rPr>
          <w:rFonts w:cs="David" w:hint="cs"/>
          <w:sz w:val="22"/>
          <w:szCs w:val="22"/>
          <w:rtl/>
        </w:rPr>
        <w:t>שיעור, 1-2</w:t>
      </w:r>
      <w:r w:rsidR="00F345C9" w:rsidRPr="00746084">
        <w:rPr>
          <w:rFonts w:cs="David" w:hint="cs"/>
          <w:sz w:val="22"/>
          <w:szCs w:val="22"/>
          <w:rtl/>
        </w:rPr>
        <w:t xml:space="preserve"> מהמשתתפים</w:t>
      </w:r>
      <w:r w:rsidR="008B2C1A" w:rsidRPr="00746084">
        <w:rPr>
          <w:rFonts w:cs="David" w:hint="cs"/>
          <w:sz w:val="22"/>
          <w:szCs w:val="22"/>
          <w:rtl/>
        </w:rPr>
        <w:t>/</w:t>
      </w:r>
      <w:proofErr w:type="spellStart"/>
      <w:r w:rsidR="008B2C1A" w:rsidRPr="00746084">
        <w:rPr>
          <w:rFonts w:cs="David" w:hint="cs"/>
          <w:sz w:val="22"/>
          <w:szCs w:val="22"/>
          <w:rtl/>
        </w:rPr>
        <w:t>ות</w:t>
      </w:r>
      <w:proofErr w:type="spellEnd"/>
      <w:r w:rsidR="00F345C9" w:rsidRPr="00746084">
        <w:rPr>
          <w:rFonts w:cs="David" w:hint="cs"/>
          <w:sz w:val="22"/>
          <w:szCs w:val="22"/>
          <w:rtl/>
        </w:rPr>
        <w:t xml:space="preserve"> יציגו בקצרה (5-10 דק') מחשבות או אסוציאציות עיוניות, קליניות, אישיות וכיו"ב על החומר שקראנו לאותו שבוע.</w:t>
      </w:r>
      <w:r w:rsidR="005F0497">
        <w:rPr>
          <w:rFonts w:cs="David" w:hint="cs"/>
          <w:sz w:val="22"/>
          <w:szCs w:val="22"/>
          <w:rtl/>
        </w:rPr>
        <w:t xml:space="preserve"> נקבע את סדר הפרזנטציות בשיעור הראשון.</w:t>
      </w:r>
      <w:r w:rsidR="00F345C9" w:rsidRPr="00746084">
        <w:rPr>
          <w:rFonts w:cs="David" w:hint="cs"/>
          <w:sz w:val="22"/>
          <w:szCs w:val="22"/>
          <w:rtl/>
        </w:rPr>
        <w:t xml:space="preserve"> </w:t>
      </w:r>
      <w:r w:rsidR="008931A7" w:rsidRPr="00746084">
        <w:rPr>
          <w:rFonts w:cs="David" w:hint="cs"/>
          <w:sz w:val="22"/>
          <w:szCs w:val="22"/>
          <w:rtl/>
        </w:rPr>
        <w:t>אשמח לשוחח או לסייע לדוברים בתהליך ההתכוננות. ברצוני להציע שבמהלך  הקריאה תתמקדו בשתי נקודות: בדימויים ובאנלוגיות בהן פרו</w:t>
      </w:r>
      <w:r w:rsidR="008B2C1A" w:rsidRPr="00746084">
        <w:rPr>
          <w:rFonts w:cs="David" w:hint="cs"/>
          <w:sz w:val="22"/>
          <w:szCs w:val="22"/>
          <w:rtl/>
        </w:rPr>
        <w:t xml:space="preserve">יד משתמש, ומה עלה בדעתכם </w:t>
      </w:r>
      <w:r w:rsidR="008931A7" w:rsidRPr="00746084">
        <w:rPr>
          <w:rFonts w:cs="David" w:hint="cs"/>
          <w:sz w:val="22"/>
          <w:szCs w:val="22"/>
          <w:rtl/>
        </w:rPr>
        <w:t>ב</w:t>
      </w:r>
      <w:r w:rsidR="00334EC8">
        <w:rPr>
          <w:rFonts w:cs="David" w:hint="cs"/>
          <w:sz w:val="22"/>
          <w:szCs w:val="22"/>
          <w:rtl/>
        </w:rPr>
        <w:t>מהלך ה</w:t>
      </w:r>
      <w:r w:rsidR="008931A7" w:rsidRPr="00746084">
        <w:rPr>
          <w:rFonts w:cs="David" w:hint="cs"/>
          <w:sz w:val="22"/>
          <w:szCs w:val="22"/>
          <w:rtl/>
        </w:rPr>
        <w:t>קריאה הנוכחית במאמר.  אני מעוניין לעודד את המשתתפים לשלוח לי במייל</w:t>
      </w:r>
      <w:r w:rsidR="00D4178D" w:rsidRPr="00746084">
        <w:rPr>
          <w:rFonts w:cs="David" w:hint="cs"/>
          <w:sz w:val="22"/>
          <w:szCs w:val="22"/>
          <w:rtl/>
        </w:rPr>
        <w:t xml:space="preserve"> את תגובותיהם למאמר לפני השיעור. כמו כן אני מבקש להודיע לי באם נבצר מכם להשתתף באח</w:t>
      </w:r>
      <w:r w:rsidR="00E20AAA" w:rsidRPr="00746084">
        <w:rPr>
          <w:rFonts w:cs="David" w:hint="cs"/>
          <w:sz w:val="22"/>
          <w:szCs w:val="22"/>
          <w:rtl/>
        </w:rPr>
        <w:t>ד</w:t>
      </w:r>
      <w:r w:rsidR="00D4178D" w:rsidRPr="00746084">
        <w:rPr>
          <w:rFonts w:cs="David" w:hint="cs"/>
          <w:sz w:val="22"/>
          <w:szCs w:val="22"/>
          <w:rtl/>
        </w:rPr>
        <w:t xml:space="preserve"> </w:t>
      </w:r>
      <w:r w:rsidR="00E20AAA" w:rsidRPr="00746084">
        <w:rPr>
          <w:rFonts w:cs="David" w:hint="cs"/>
          <w:sz w:val="22"/>
          <w:szCs w:val="22"/>
          <w:rtl/>
        </w:rPr>
        <w:t>מ</w:t>
      </w:r>
      <w:r w:rsidR="00D4178D" w:rsidRPr="00746084">
        <w:rPr>
          <w:rFonts w:cs="David" w:hint="cs"/>
          <w:sz w:val="22"/>
          <w:szCs w:val="22"/>
          <w:rtl/>
        </w:rPr>
        <w:t>השיעורים.</w:t>
      </w:r>
    </w:p>
    <w:p w:rsidR="00D4178D" w:rsidRPr="00746084" w:rsidRDefault="00D4178D" w:rsidP="00A56BB2">
      <w:pPr>
        <w:spacing w:line="276" w:lineRule="auto"/>
        <w:rPr>
          <w:rFonts w:cs="David"/>
          <w:sz w:val="22"/>
          <w:szCs w:val="22"/>
          <w:rtl/>
        </w:rPr>
      </w:pPr>
    </w:p>
    <w:p w:rsidR="00B00DBE" w:rsidRDefault="003A397F" w:rsidP="000D3CDF">
      <w:pPr>
        <w:spacing w:line="276" w:lineRule="auto"/>
        <w:ind w:left="651" w:hanging="651"/>
        <w:rPr>
          <w:rFonts w:cs="David"/>
          <w:sz w:val="22"/>
          <w:szCs w:val="22"/>
          <w:rtl/>
        </w:rPr>
      </w:pPr>
      <w:r w:rsidRPr="00746084">
        <w:rPr>
          <w:rFonts w:cs="David" w:hint="cs"/>
          <w:sz w:val="22"/>
          <w:szCs w:val="22"/>
          <w:rtl/>
        </w:rPr>
        <w:t xml:space="preserve">1. </w:t>
      </w:r>
      <w:r w:rsidR="00BF79D8">
        <w:rPr>
          <w:rFonts w:cs="David" w:hint="cs"/>
          <w:sz w:val="22"/>
          <w:szCs w:val="22"/>
          <w:rtl/>
        </w:rPr>
        <w:t xml:space="preserve">    </w:t>
      </w:r>
      <w:r w:rsidR="000D3CDF">
        <w:rPr>
          <w:rFonts w:cs="David" w:hint="cs"/>
          <w:sz w:val="22"/>
          <w:szCs w:val="22"/>
          <w:rtl/>
        </w:rPr>
        <w:tab/>
      </w:r>
      <w:r w:rsidR="00D4178D" w:rsidRPr="00746084">
        <w:rPr>
          <w:rFonts w:cs="David" w:hint="cs"/>
          <w:sz w:val="22"/>
          <w:szCs w:val="22"/>
          <w:rtl/>
        </w:rPr>
        <w:t xml:space="preserve">בשיעור הראשון נדון </w:t>
      </w:r>
      <w:r w:rsidR="00B00DBE">
        <w:rPr>
          <w:rFonts w:cs="David" w:hint="cs"/>
          <w:sz w:val="22"/>
          <w:szCs w:val="22"/>
          <w:rtl/>
        </w:rPr>
        <w:t>ב "</w:t>
      </w:r>
      <w:proofErr w:type="spellStart"/>
      <w:r w:rsidR="00B00DBE">
        <w:rPr>
          <w:rFonts w:cs="David" w:hint="cs"/>
          <w:sz w:val="22"/>
          <w:szCs w:val="22"/>
          <w:rtl/>
        </w:rPr>
        <w:t>קתרינה</w:t>
      </w:r>
      <w:proofErr w:type="spellEnd"/>
      <w:r w:rsidR="00B00DBE">
        <w:rPr>
          <w:rFonts w:cs="David" w:hint="cs"/>
          <w:sz w:val="22"/>
          <w:szCs w:val="22"/>
          <w:rtl/>
        </w:rPr>
        <w:t xml:space="preserve">", </w:t>
      </w:r>
      <w:r w:rsidR="00B00DBE" w:rsidRPr="00B00DBE">
        <w:rPr>
          <w:rFonts w:cs="David" w:hint="cs"/>
          <w:sz w:val="22"/>
          <w:szCs w:val="22"/>
          <w:rtl/>
        </w:rPr>
        <w:t xml:space="preserve"> </w:t>
      </w:r>
      <w:r w:rsidR="00B00DBE">
        <w:rPr>
          <w:rFonts w:cs="David" w:hint="cs"/>
          <w:sz w:val="22"/>
          <w:szCs w:val="22"/>
          <w:rtl/>
        </w:rPr>
        <w:t>פרויד (</w:t>
      </w:r>
      <w:r w:rsidR="00D37AC2">
        <w:rPr>
          <w:rFonts w:cs="David" w:hint="cs"/>
          <w:sz w:val="22"/>
          <w:szCs w:val="22"/>
          <w:rtl/>
        </w:rPr>
        <w:t>18</w:t>
      </w:r>
      <w:r w:rsidR="00B00DBE">
        <w:rPr>
          <w:rFonts w:cs="David" w:hint="cs"/>
          <w:sz w:val="22"/>
          <w:szCs w:val="22"/>
          <w:rtl/>
        </w:rPr>
        <w:t>95-</w:t>
      </w:r>
      <w:r w:rsidR="00B00DBE" w:rsidRPr="00746084">
        <w:rPr>
          <w:rFonts w:cs="David" w:hint="cs"/>
          <w:sz w:val="22"/>
          <w:szCs w:val="22"/>
          <w:rtl/>
        </w:rPr>
        <w:t>189</w:t>
      </w:r>
      <w:r w:rsidR="00B00DBE">
        <w:rPr>
          <w:rFonts w:cs="David" w:hint="cs"/>
          <w:sz w:val="22"/>
          <w:szCs w:val="22"/>
          <w:rtl/>
        </w:rPr>
        <w:t>3</w:t>
      </w:r>
      <w:r w:rsidR="00C27DFD" w:rsidRPr="00746084">
        <w:rPr>
          <w:rFonts w:cs="David" w:hint="cs"/>
          <w:sz w:val="22"/>
          <w:szCs w:val="22"/>
          <w:rtl/>
        </w:rPr>
        <w:t>)</w:t>
      </w:r>
      <w:r w:rsidR="00BF79D8">
        <w:rPr>
          <w:rFonts w:cs="David" w:hint="cs"/>
          <w:sz w:val="22"/>
          <w:szCs w:val="22"/>
          <w:rtl/>
        </w:rPr>
        <w:t xml:space="preserve"> </w:t>
      </w:r>
      <w:r w:rsidR="00BF79D8">
        <w:rPr>
          <w:rFonts w:cs="David" w:hint="cs"/>
          <w:sz w:val="22"/>
          <w:szCs w:val="22"/>
          <w:u w:val="single"/>
          <w:rtl/>
        </w:rPr>
        <w:t>מחקרים בהיסטריה</w:t>
      </w:r>
      <w:r w:rsidR="00BF79D8">
        <w:rPr>
          <w:rFonts w:cs="David" w:hint="cs"/>
          <w:sz w:val="22"/>
          <w:szCs w:val="22"/>
          <w:rtl/>
        </w:rPr>
        <w:t xml:space="preserve">, </w:t>
      </w:r>
      <w:proofErr w:type="spellStart"/>
      <w:r w:rsidR="00BF79D8">
        <w:rPr>
          <w:rFonts w:cs="David" w:hint="cs"/>
          <w:sz w:val="22"/>
          <w:szCs w:val="22"/>
          <w:rtl/>
        </w:rPr>
        <w:t>קוגיטו</w:t>
      </w:r>
      <w:proofErr w:type="spellEnd"/>
      <w:r w:rsidR="00BF79D8">
        <w:rPr>
          <w:rFonts w:cs="David" w:hint="cs"/>
          <w:sz w:val="22"/>
          <w:szCs w:val="22"/>
          <w:rtl/>
        </w:rPr>
        <w:t>, 2004</w:t>
      </w:r>
      <w:r w:rsidR="003953EF" w:rsidRPr="00746084">
        <w:rPr>
          <w:rFonts w:cs="David" w:hint="cs"/>
          <w:sz w:val="22"/>
          <w:szCs w:val="22"/>
          <w:rtl/>
        </w:rPr>
        <w:t>.</w:t>
      </w:r>
    </w:p>
    <w:p w:rsidR="00C27DFD" w:rsidRPr="00746084" w:rsidRDefault="00B00DBE" w:rsidP="000D3CDF">
      <w:pPr>
        <w:spacing w:line="276" w:lineRule="auto"/>
        <w:ind w:left="651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 xml:space="preserve">159-169, </w:t>
      </w:r>
      <w:proofErr w:type="spellStart"/>
      <w:r>
        <w:rPr>
          <w:rFonts w:cs="David" w:hint="cs"/>
          <w:sz w:val="22"/>
          <w:szCs w:val="22"/>
          <w:rtl/>
        </w:rPr>
        <w:t>וב"גילוי</w:t>
      </w:r>
      <w:proofErr w:type="spellEnd"/>
      <w:r>
        <w:rPr>
          <w:rFonts w:cs="David" w:hint="cs"/>
          <w:sz w:val="22"/>
          <w:szCs w:val="22"/>
          <w:rtl/>
        </w:rPr>
        <w:t xml:space="preserve"> וכיסוי בלשון" של ביאליק (1915).  ממליץ לקרוא גם את פרק 3 מתוך "הפסיכותרפיה </w:t>
      </w:r>
      <w:r w:rsidR="00D37AC2">
        <w:rPr>
          <w:rFonts w:cs="David" w:hint="cs"/>
          <w:sz w:val="22"/>
          <w:szCs w:val="22"/>
          <w:rtl/>
        </w:rPr>
        <w:t xml:space="preserve"> </w:t>
      </w:r>
      <w:r>
        <w:rPr>
          <w:rFonts w:cs="David" w:hint="cs"/>
          <w:sz w:val="22"/>
          <w:szCs w:val="22"/>
          <w:rtl/>
        </w:rPr>
        <w:t xml:space="preserve">של ההיסטריה" החותם את </w:t>
      </w:r>
      <w:r w:rsidRPr="00B00DBE">
        <w:rPr>
          <w:rFonts w:cs="David" w:hint="cs"/>
          <w:sz w:val="22"/>
          <w:szCs w:val="22"/>
          <w:u w:val="single"/>
          <w:rtl/>
        </w:rPr>
        <w:t>מחקרים בהיסטריה</w:t>
      </w:r>
      <w:r>
        <w:rPr>
          <w:rFonts w:cs="David" w:hint="cs"/>
          <w:sz w:val="22"/>
          <w:szCs w:val="22"/>
          <w:rtl/>
        </w:rPr>
        <w:t>.</w:t>
      </w:r>
    </w:p>
    <w:p w:rsidR="003953EF" w:rsidRPr="00746084" w:rsidRDefault="003953EF" w:rsidP="001F7955">
      <w:pPr>
        <w:rPr>
          <w:rFonts w:cs="David"/>
          <w:sz w:val="22"/>
          <w:szCs w:val="22"/>
          <w:rtl/>
        </w:rPr>
      </w:pPr>
      <w:r w:rsidRPr="00746084">
        <w:rPr>
          <w:rFonts w:cs="David" w:hint="cs"/>
          <w:sz w:val="22"/>
          <w:szCs w:val="22"/>
          <w:rtl/>
        </w:rPr>
        <w:t xml:space="preserve">             </w:t>
      </w:r>
    </w:p>
    <w:p w:rsidR="003953EF" w:rsidRPr="00746084" w:rsidRDefault="003953EF" w:rsidP="00F345C9">
      <w:pPr>
        <w:rPr>
          <w:rFonts w:cs="David"/>
          <w:sz w:val="22"/>
          <w:szCs w:val="22"/>
          <w:rtl/>
        </w:rPr>
      </w:pPr>
      <w:r w:rsidRPr="00746084">
        <w:rPr>
          <w:rFonts w:cs="David" w:hint="cs"/>
          <w:sz w:val="22"/>
          <w:szCs w:val="22"/>
          <w:rtl/>
        </w:rPr>
        <w:t xml:space="preserve">2.          (1911) השימוש בפירוש חלומות בפסיכואנליזה. </w:t>
      </w:r>
      <w:r w:rsidR="00BF79D8" w:rsidRPr="00746084">
        <w:rPr>
          <w:rFonts w:cs="David" w:hint="cs"/>
          <w:sz w:val="22"/>
          <w:szCs w:val="22"/>
          <w:u w:val="single"/>
          <w:rtl/>
        </w:rPr>
        <w:t>הטיפול הפסיכואנליטי</w:t>
      </w:r>
      <w:r w:rsidR="00BF79D8" w:rsidRPr="00746084">
        <w:rPr>
          <w:rFonts w:cs="David" w:hint="cs"/>
          <w:sz w:val="22"/>
          <w:szCs w:val="22"/>
          <w:rtl/>
        </w:rPr>
        <w:t xml:space="preserve"> </w:t>
      </w:r>
      <w:r w:rsidRPr="00746084">
        <w:rPr>
          <w:rFonts w:cs="David" w:hint="cs"/>
          <w:sz w:val="22"/>
          <w:szCs w:val="22"/>
          <w:rtl/>
        </w:rPr>
        <w:t>(81-84)</w:t>
      </w:r>
    </w:p>
    <w:p w:rsidR="003953EF" w:rsidRPr="00746084" w:rsidRDefault="003953EF" w:rsidP="00F345C9">
      <w:pPr>
        <w:rPr>
          <w:rFonts w:cs="David"/>
          <w:sz w:val="22"/>
          <w:szCs w:val="22"/>
          <w:rtl/>
        </w:rPr>
      </w:pPr>
      <w:r w:rsidRPr="00746084">
        <w:rPr>
          <w:rFonts w:cs="David" w:hint="cs"/>
          <w:sz w:val="22"/>
          <w:szCs w:val="22"/>
          <w:rtl/>
        </w:rPr>
        <w:t xml:space="preserve">             (1923) הערות על הלכה ומעשה בפירוש חלומות. (139-148).</w:t>
      </w:r>
    </w:p>
    <w:p w:rsidR="003953EF" w:rsidRPr="00746084" w:rsidRDefault="003953EF" w:rsidP="00F345C9">
      <w:pPr>
        <w:rPr>
          <w:sz w:val="22"/>
          <w:szCs w:val="22"/>
          <w:rtl/>
        </w:rPr>
      </w:pPr>
    </w:p>
    <w:p w:rsidR="001F7955" w:rsidRPr="00746084" w:rsidRDefault="003953EF" w:rsidP="007C6BE7">
      <w:pPr>
        <w:rPr>
          <w:sz w:val="22"/>
          <w:szCs w:val="22"/>
        </w:rPr>
      </w:pPr>
      <w:r w:rsidRPr="00746084">
        <w:rPr>
          <w:rFonts w:hint="cs"/>
          <w:sz w:val="22"/>
          <w:szCs w:val="22"/>
          <w:rtl/>
        </w:rPr>
        <w:t xml:space="preserve">3.         </w:t>
      </w:r>
      <w:proofErr w:type="gramStart"/>
      <w:r w:rsidR="007C6BE7" w:rsidRPr="00746084">
        <w:rPr>
          <w:sz w:val="22"/>
          <w:szCs w:val="22"/>
        </w:rPr>
        <w:t>On wild analysis.</w:t>
      </w:r>
      <w:proofErr w:type="gramEnd"/>
      <w:r w:rsidR="001F7955" w:rsidRPr="00746084">
        <w:rPr>
          <w:sz w:val="22"/>
          <w:szCs w:val="22"/>
        </w:rPr>
        <w:t xml:space="preserve"> SE, Vol. XI, 219-228</w:t>
      </w:r>
      <w:r w:rsidR="007C6BE7" w:rsidRPr="00746084">
        <w:rPr>
          <w:sz w:val="22"/>
          <w:szCs w:val="22"/>
        </w:rPr>
        <w:t xml:space="preserve"> (1910)</w:t>
      </w:r>
    </w:p>
    <w:p w:rsidR="003953EF" w:rsidRPr="00746084" w:rsidRDefault="001F7955" w:rsidP="001F7955">
      <w:pPr>
        <w:rPr>
          <w:rFonts w:cs="David"/>
          <w:sz w:val="22"/>
          <w:szCs w:val="22"/>
          <w:rtl/>
        </w:rPr>
      </w:pPr>
      <w:r w:rsidRPr="00746084">
        <w:rPr>
          <w:rFonts w:cs="David"/>
          <w:sz w:val="22"/>
          <w:szCs w:val="22"/>
        </w:rPr>
        <w:t xml:space="preserve">     </w:t>
      </w:r>
      <w:r w:rsidRPr="00746084">
        <w:rPr>
          <w:rFonts w:cs="David" w:hint="cs"/>
          <w:sz w:val="22"/>
          <w:szCs w:val="22"/>
          <w:rtl/>
        </w:rPr>
        <w:t xml:space="preserve">       (1910) סיכוייה לעתיד של התרפיה הפסיכואנליטית. (שם, 73-80).</w:t>
      </w:r>
    </w:p>
    <w:p w:rsidR="003953EF" w:rsidRPr="00746084" w:rsidRDefault="003953EF" w:rsidP="00F345C9">
      <w:pPr>
        <w:rPr>
          <w:sz w:val="22"/>
          <w:szCs w:val="22"/>
          <w:rtl/>
        </w:rPr>
      </w:pPr>
    </w:p>
    <w:p w:rsidR="003953EF" w:rsidRPr="00746084" w:rsidRDefault="003953EF" w:rsidP="007C6BE7">
      <w:pPr>
        <w:rPr>
          <w:rFonts w:cs="David"/>
          <w:sz w:val="22"/>
          <w:szCs w:val="22"/>
          <w:rtl/>
        </w:rPr>
      </w:pPr>
      <w:r w:rsidRPr="00746084">
        <w:rPr>
          <w:rFonts w:cs="David" w:hint="cs"/>
          <w:sz w:val="22"/>
          <w:szCs w:val="22"/>
          <w:rtl/>
        </w:rPr>
        <w:t>4</w:t>
      </w:r>
      <w:r w:rsidR="007C6BE7" w:rsidRPr="00746084">
        <w:rPr>
          <w:rFonts w:cs="David" w:hint="cs"/>
          <w:sz w:val="22"/>
          <w:szCs w:val="22"/>
          <w:rtl/>
        </w:rPr>
        <w:t>.          (1912) על הדינמיקה של ההעברה. (85-91).</w:t>
      </w:r>
    </w:p>
    <w:p w:rsidR="007C6BE7" w:rsidRPr="00746084" w:rsidRDefault="007C6BE7" w:rsidP="007C6BE7">
      <w:pPr>
        <w:rPr>
          <w:rFonts w:cs="David"/>
          <w:sz w:val="22"/>
          <w:szCs w:val="22"/>
          <w:rtl/>
        </w:rPr>
      </w:pPr>
    </w:p>
    <w:p w:rsidR="007C6BE7" w:rsidRPr="00746084" w:rsidRDefault="007C6BE7" w:rsidP="007C6BE7">
      <w:pPr>
        <w:rPr>
          <w:rFonts w:cs="David"/>
          <w:sz w:val="22"/>
          <w:szCs w:val="22"/>
          <w:rtl/>
        </w:rPr>
      </w:pPr>
      <w:r w:rsidRPr="00746084">
        <w:rPr>
          <w:rFonts w:cs="David" w:hint="cs"/>
          <w:sz w:val="22"/>
          <w:szCs w:val="22"/>
          <w:rtl/>
        </w:rPr>
        <w:t>5.          (1915) הערות על אהבת-העברה. (120-128).</w:t>
      </w:r>
    </w:p>
    <w:p w:rsidR="001F7955" w:rsidRPr="00746084" w:rsidRDefault="001F7955" w:rsidP="007C6BE7">
      <w:pPr>
        <w:rPr>
          <w:rFonts w:cs="David"/>
          <w:sz w:val="22"/>
          <w:szCs w:val="22"/>
          <w:rtl/>
        </w:rPr>
      </w:pPr>
    </w:p>
    <w:p w:rsidR="001F7955" w:rsidRPr="00746084" w:rsidRDefault="001F7955" w:rsidP="007C6BE7">
      <w:pPr>
        <w:rPr>
          <w:rFonts w:cs="David"/>
          <w:sz w:val="22"/>
          <w:szCs w:val="22"/>
          <w:rtl/>
        </w:rPr>
      </w:pPr>
      <w:r w:rsidRPr="00746084">
        <w:rPr>
          <w:rFonts w:cs="David" w:hint="cs"/>
          <w:sz w:val="22"/>
          <w:szCs w:val="22"/>
          <w:rtl/>
        </w:rPr>
        <w:t>6.          (1912) עצות לרופא על הטיפול הפסיכואנליטי. (92-99).</w:t>
      </w:r>
    </w:p>
    <w:p w:rsidR="001F7955" w:rsidRPr="00746084" w:rsidRDefault="001F7955" w:rsidP="007C6BE7">
      <w:pPr>
        <w:rPr>
          <w:rFonts w:cs="David"/>
          <w:sz w:val="22"/>
          <w:szCs w:val="22"/>
          <w:rtl/>
        </w:rPr>
      </w:pPr>
      <w:r w:rsidRPr="00746084">
        <w:rPr>
          <w:rFonts w:cs="David" w:hint="cs"/>
          <w:sz w:val="22"/>
          <w:szCs w:val="22"/>
          <w:rtl/>
        </w:rPr>
        <w:t xml:space="preserve">             (1913) על פתיחת הטיפול. (99-113).</w:t>
      </w:r>
    </w:p>
    <w:p w:rsidR="001F7955" w:rsidRPr="00746084" w:rsidRDefault="001F7955" w:rsidP="007C6BE7">
      <w:pPr>
        <w:rPr>
          <w:rFonts w:cs="David"/>
          <w:sz w:val="22"/>
          <w:szCs w:val="22"/>
          <w:rtl/>
        </w:rPr>
      </w:pPr>
    </w:p>
    <w:p w:rsidR="001F7955" w:rsidRPr="00746084" w:rsidRDefault="001F7955" w:rsidP="00A56BB2">
      <w:pPr>
        <w:rPr>
          <w:rFonts w:cs="David"/>
          <w:sz w:val="22"/>
          <w:szCs w:val="22"/>
          <w:rtl/>
        </w:rPr>
      </w:pPr>
      <w:r w:rsidRPr="00746084">
        <w:rPr>
          <w:rFonts w:cs="David" w:hint="cs"/>
          <w:sz w:val="22"/>
          <w:szCs w:val="22"/>
          <w:rtl/>
        </w:rPr>
        <w:t>7.          (1914) היזכרות, חזרה ועיבוד. (114-119).</w:t>
      </w:r>
    </w:p>
    <w:p w:rsidR="00120ED2" w:rsidRPr="00765E58" w:rsidRDefault="00765E58" w:rsidP="000D3CDF">
      <w:pPr>
        <w:ind w:left="651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(1920) "על הפסיכו גנזה של מקרה הומוסקסואליות נשית", ב</w:t>
      </w:r>
      <w:r>
        <w:rPr>
          <w:rFonts w:cs="David" w:hint="cs"/>
          <w:sz w:val="22"/>
          <w:szCs w:val="22"/>
          <w:u w:val="single"/>
          <w:rtl/>
        </w:rPr>
        <w:t>מיניות ואהבה</w:t>
      </w:r>
      <w:r>
        <w:rPr>
          <w:rFonts w:cs="David" w:hint="cs"/>
          <w:sz w:val="22"/>
          <w:szCs w:val="22"/>
          <w:rtl/>
        </w:rPr>
        <w:t>, עם עובד, 2005., 164-182</w:t>
      </w:r>
      <w:r w:rsidR="000D3CDF">
        <w:rPr>
          <w:rFonts w:cs="David" w:hint="cs"/>
          <w:sz w:val="22"/>
          <w:szCs w:val="22"/>
          <w:rtl/>
        </w:rPr>
        <w:t>.</w:t>
      </w:r>
    </w:p>
    <w:p w:rsidR="001F7955" w:rsidRPr="00746084" w:rsidRDefault="001F7955" w:rsidP="00A56BB2">
      <w:pPr>
        <w:rPr>
          <w:rFonts w:cs="David"/>
          <w:sz w:val="22"/>
          <w:szCs w:val="22"/>
          <w:rtl/>
        </w:rPr>
      </w:pPr>
    </w:p>
    <w:p w:rsidR="001F7955" w:rsidRPr="00746084" w:rsidRDefault="001F7955" w:rsidP="00A56BB2">
      <w:pPr>
        <w:rPr>
          <w:rFonts w:cs="David"/>
          <w:sz w:val="22"/>
          <w:szCs w:val="22"/>
          <w:rtl/>
        </w:rPr>
      </w:pPr>
      <w:r w:rsidRPr="00746084">
        <w:rPr>
          <w:rFonts w:cs="David" w:hint="cs"/>
          <w:sz w:val="22"/>
          <w:szCs w:val="22"/>
          <w:rtl/>
        </w:rPr>
        <w:t xml:space="preserve">8.          (1919) </w:t>
      </w:r>
      <w:r w:rsidR="00C3538F" w:rsidRPr="00746084">
        <w:rPr>
          <w:rFonts w:cs="David" w:hint="cs"/>
          <w:sz w:val="22"/>
          <w:szCs w:val="22"/>
          <w:rtl/>
        </w:rPr>
        <w:t>דרכיה של התרפיה הפסיכואנליטית. (129-135).</w:t>
      </w:r>
    </w:p>
    <w:p w:rsidR="00F345C9" w:rsidRPr="00746084" w:rsidRDefault="00C3538F" w:rsidP="00A56BB2">
      <w:pPr>
        <w:rPr>
          <w:rFonts w:cs="David"/>
          <w:sz w:val="22"/>
          <w:szCs w:val="22"/>
          <w:rtl/>
        </w:rPr>
      </w:pPr>
      <w:r w:rsidRPr="00746084">
        <w:rPr>
          <w:rFonts w:cs="David" w:hint="cs"/>
          <w:sz w:val="22"/>
          <w:szCs w:val="22"/>
          <w:rtl/>
        </w:rPr>
        <w:t xml:space="preserve">             (1938) תקציר הפסיכואנליזה: הטכניקה הפסיכואנליטית. (237-243).</w:t>
      </w:r>
    </w:p>
    <w:p w:rsidR="00765E58" w:rsidRDefault="00765E58" w:rsidP="00B00DBE">
      <w:pPr>
        <w:rPr>
          <w:rFonts w:cs="David"/>
          <w:sz w:val="22"/>
          <w:szCs w:val="22"/>
          <w:rtl/>
        </w:rPr>
      </w:pPr>
    </w:p>
    <w:p w:rsidR="00746084" w:rsidRPr="00746084" w:rsidRDefault="00C3538F" w:rsidP="00B00DBE">
      <w:pPr>
        <w:rPr>
          <w:rFonts w:cs="David"/>
          <w:sz w:val="22"/>
          <w:szCs w:val="22"/>
          <w:rtl/>
        </w:rPr>
      </w:pPr>
      <w:r w:rsidRPr="00746084">
        <w:rPr>
          <w:rFonts w:cs="David" w:hint="cs"/>
          <w:sz w:val="22"/>
          <w:szCs w:val="22"/>
          <w:rtl/>
        </w:rPr>
        <w:t xml:space="preserve">9.          </w:t>
      </w:r>
      <w:r w:rsidR="00746084" w:rsidRPr="00746084">
        <w:rPr>
          <w:rFonts w:cs="David" w:hint="cs"/>
          <w:sz w:val="22"/>
          <w:szCs w:val="22"/>
          <w:rtl/>
        </w:rPr>
        <w:t xml:space="preserve"> איש הע</w:t>
      </w:r>
      <w:r w:rsidR="00B00DBE">
        <w:rPr>
          <w:rFonts w:cs="David" w:hint="cs"/>
          <w:sz w:val="22"/>
          <w:szCs w:val="22"/>
          <w:rtl/>
        </w:rPr>
        <w:t xml:space="preserve">כברושים (1909), </w:t>
      </w:r>
      <w:proofErr w:type="spellStart"/>
      <w:r w:rsidR="00B00DBE">
        <w:rPr>
          <w:rFonts w:cs="David" w:hint="cs"/>
          <w:sz w:val="22"/>
          <w:szCs w:val="22"/>
          <w:rtl/>
        </w:rPr>
        <w:t>קוגיטו</w:t>
      </w:r>
      <w:proofErr w:type="spellEnd"/>
      <w:r w:rsidR="00B00DBE">
        <w:rPr>
          <w:rFonts w:cs="David" w:hint="cs"/>
          <w:sz w:val="22"/>
          <w:szCs w:val="22"/>
          <w:rtl/>
        </w:rPr>
        <w:t xml:space="preserve"> 2004. (31</w:t>
      </w:r>
      <w:r w:rsidR="00746084" w:rsidRPr="00746084">
        <w:rPr>
          <w:rFonts w:cs="David" w:hint="cs"/>
          <w:sz w:val="22"/>
          <w:szCs w:val="22"/>
          <w:rtl/>
        </w:rPr>
        <w:t>-88)</w:t>
      </w:r>
    </w:p>
    <w:p w:rsidR="00746084" w:rsidRPr="00746084" w:rsidRDefault="00746084" w:rsidP="00A56BB2">
      <w:pPr>
        <w:rPr>
          <w:rFonts w:cs="David"/>
          <w:sz w:val="22"/>
          <w:szCs w:val="22"/>
          <w:rtl/>
        </w:rPr>
      </w:pPr>
    </w:p>
    <w:p w:rsidR="00C3538F" w:rsidRPr="00746084" w:rsidRDefault="00C3538F" w:rsidP="00A56BB2">
      <w:pPr>
        <w:rPr>
          <w:rFonts w:cs="David"/>
          <w:sz w:val="22"/>
          <w:szCs w:val="22"/>
          <w:rtl/>
        </w:rPr>
      </w:pPr>
      <w:r w:rsidRPr="00746084">
        <w:rPr>
          <w:rFonts w:cs="David" w:hint="cs"/>
          <w:sz w:val="22"/>
          <w:szCs w:val="22"/>
          <w:rtl/>
        </w:rPr>
        <w:t>10.        (1937) הבניות באנליזה.</w:t>
      </w:r>
      <w:r w:rsidR="00F77100" w:rsidRPr="00746084">
        <w:rPr>
          <w:rFonts w:cs="David" w:hint="cs"/>
          <w:sz w:val="22"/>
          <w:szCs w:val="22"/>
          <w:rtl/>
        </w:rPr>
        <w:t>(</w:t>
      </w:r>
      <w:r w:rsidRPr="00746084">
        <w:rPr>
          <w:rFonts w:cs="David" w:hint="cs"/>
          <w:sz w:val="22"/>
          <w:szCs w:val="22"/>
          <w:rtl/>
        </w:rPr>
        <w:t>227-235)</w:t>
      </w:r>
      <w:r w:rsidR="00F77100" w:rsidRPr="00746084">
        <w:rPr>
          <w:rFonts w:cs="David" w:hint="cs"/>
          <w:sz w:val="22"/>
          <w:szCs w:val="22"/>
          <w:rtl/>
        </w:rPr>
        <w:t>.</w:t>
      </w:r>
    </w:p>
    <w:p w:rsidR="00746084" w:rsidRPr="00746084" w:rsidRDefault="00746084" w:rsidP="00746084">
      <w:pPr>
        <w:rPr>
          <w:rFonts w:cs="David"/>
          <w:sz w:val="22"/>
          <w:szCs w:val="22"/>
          <w:rtl/>
        </w:rPr>
      </w:pPr>
      <w:r w:rsidRPr="00746084">
        <w:rPr>
          <w:rFonts w:cs="David" w:hint="cs"/>
          <w:sz w:val="22"/>
          <w:szCs w:val="22"/>
          <w:rtl/>
        </w:rPr>
        <w:t xml:space="preserve">             איש העכברושים (1909), </w:t>
      </w:r>
      <w:proofErr w:type="spellStart"/>
      <w:r w:rsidRPr="00746084">
        <w:rPr>
          <w:rFonts w:cs="David" w:hint="cs"/>
          <w:sz w:val="22"/>
          <w:szCs w:val="22"/>
          <w:rtl/>
        </w:rPr>
        <w:t>קוגיטו</w:t>
      </w:r>
      <w:proofErr w:type="spellEnd"/>
      <w:r w:rsidRPr="00746084">
        <w:rPr>
          <w:rFonts w:cs="David" w:hint="cs"/>
          <w:sz w:val="22"/>
          <w:szCs w:val="22"/>
          <w:rtl/>
        </w:rPr>
        <w:t xml:space="preserve"> 2004. (91-113)</w:t>
      </w:r>
    </w:p>
    <w:p w:rsidR="00746084" w:rsidRPr="00746084" w:rsidRDefault="00746084" w:rsidP="00A56BB2">
      <w:pPr>
        <w:rPr>
          <w:rFonts w:cs="David"/>
          <w:sz w:val="22"/>
          <w:szCs w:val="22"/>
          <w:rtl/>
        </w:rPr>
      </w:pPr>
    </w:p>
    <w:p w:rsidR="00F77100" w:rsidRPr="00746084" w:rsidRDefault="00F77100" w:rsidP="00A56BB2">
      <w:pPr>
        <w:rPr>
          <w:rFonts w:cs="David"/>
          <w:sz w:val="22"/>
          <w:szCs w:val="22"/>
          <w:rtl/>
        </w:rPr>
      </w:pPr>
    </w:p>
    <w:p w:rsidR="00F77100" w:rsidRPr="00746084" w:rsidRDefault="00F77100" w:rsidP="00A56BB2">
      <w:pPr>
        <w:ind w:left="651" w:hanging="709"/>
        <w:rPr>
          <w:rFonts w:cs="David"/>
          <w:sz w:val="22"/>
          <w:szCs w:val="22"/>
          <w:rtl/>
        </w:rPr>
      </w:pPr>
      <w:r w:rsidRPr="00746084">
        <w:rPr>
          <w:rFonts w:cs="David" w:hint="cs"/>
          <w:sz w:val="22"/>
          <w:szCs w:val="22"/>
          <w:rtl/>
        </w:rPr>
        <w:t xml:space="preserve">11.        (1915) מקרה של פרנויה הסותר את התיאוריה הפסיכואנליטית. </w:t>
      </w:r>
      <w:r w:rsidRPr="00746084">
        <w:rPr>
          <w:rFonts w:cs="David" w:hint="cs"/>
          <w:sz w:val="22"/>
          <w:szCs w:val="22"/>
          <w:u w:val="single"/>
          <w:rtl/>
        </w:rPr>
        <w:t>הצגת הנרקיסיזם ומאמרים נוספים על הפסיכוזה, א.</w:t>
      </w:r>
      <w:r w:rsidRPr="00746084">
        <w:rPr>
          <w:rFonts w:cs="David" w:hint="cs"/>
          <w:sz w:val="22"/>
          <w:szCs w:val="22"/>
          <w:rtl/>
        </w:rPr>
        <w:t xml:space="preserve"> (75-92).</w:t>
      </w:r>
    </w:p>
    <w:p w:rsidR="00F77100" w:rsidRPr="00746084" w:rsidRDefault="00F77100" w:rsidP="00A56BB2">
      <w:pPr>
        <w:rPr>
          <w:rFonts w:cs="David"/>
          <w:sz w:val="22"/>
          <w:szCs w:val="22"/>
          <w:rtl/>
        </w:rPr>
      </w:pPr>
      <w:r w:rsidRPr="00746084">
        <w:rPr>
          <w:rFonts w:cs="David" w:hint="cs"/>
          <w:sz w:val="22"/>
          <w:szCs w:val="22"/>
          <w:rtl/>
        </w:rPr>
        <w:t xml:space="preserve">             (1922) על כמה מנגנונים נוירוטיים בקנאה, בפרנויה ובהומוסקסואליות.  (שם.  93-111).</w:t>
      </w:r>
    </w:p>
    <w:p w:rsidR="00F77100" w:rsidRPr="00746084" w:rsidRDefault="00335FBE" w:rsidP="00A56BB2">
      <w:pPr>
        <w:rPr>
          <w:sz w:val="22"/>
          <w:szCs w:val="22"/>
          <w:rtl/>
        </w:rPr>
      </w:pPr>
      <w:r w:rsidRPr="00746084">
        <w:rPr>
          <w:rFonts w:hint="cs"/>
          <w:sz w:val="22"/>
          <w:szCs w:val="22"/>
          <w:rtl/>
        </w:rPr>
        <w:lastRenderedPageBreak/>
        <w:t xml:space="preserve">           </w:t>
      </w:r>
      <w:r w:rsidRPr="00746084">
        <w:rPr>
          <w:sz w:val="22"/>
          <w:szCs w:val="22"/>
        </w:rPr>
        <w:t>. (1925)</w:t>
      </w:r>
      <w:r w:rsidRPr="00746084">
        <w:rPr>
          <w:rFonts w:hint="cs"/>
          <w:sz w:val="22"/>
          <w:szCs w:val="22"/>
          <w:rtl/>
        </w:rPr>
        <w:t>(</w:t>
      </w:r>
      <w:r w:rsidRPr="00746084">
        <w:rPr>
          <w:sz w:val="22"/>
          <w:szCs w:val="22"/>
        </w:rPr>
        <w:t>Negation.</w:t>
      </w:r>
      <w:r w:rsidRPr="00746084">
        <w:rPr>
          <w:i/>
          <w:iCs/>
          <w:sz w:val="22"/>
          <w:szCs w:val="22"/>
        </w:rPr>
        <w:t xml:space="preserve"> S.E., Vol.  XIX</w:t>
      </w:r>
      <w:r w:rsidRPr="00746084">
        <w:rPr>
          <w:sz w:val="22"/>
          <w:szCs w:val="22"/>
        </w:rPr>
        <w:t>, 233-240</w:t>
      </w:r>
      <w:r w:rsidR="00F77100" w:rsidRPr="00746084">
        <w:rPr>
          <w:rFonts w:hint="cs"/>
          <w:sz w:val="22"/>
          <w:szCs w:val="22"/>
          <w:rtl/>
        </w:rPr>
        <w:t xml:space="preserve">  </w:t>
      </w:r>
    </w:p>
    <w:p w:rsidR="00335FBE" w:rsidRPr="00746084" w:rsidRDefault="00335FBE" w:rsidP="00335FBE">
      <w:pPr>
        <w:rPr>
          <w:sz w:val="22"/>
          <w:szCs w:val="22"/>
          <w:rtl/>
        </w:rPr>
      </w:pPr>
    </w:p>
    <w:p w:rsidR="00335FBE" w:rsidRPr="00746084" w:rsidRDefault="00335FBE" w:rsidP="00335FBE">
      <w:pPr>
        <w:rPr>
          <w:rFonts w:cs="David"/>
          <w:sz w:val="22"/>
          <w:szCs w:val="22"/>
          <w:rtl/>
        </w:rPr>
      </w:pPr>
      <w:r w:rsidRPr="00746084">
        <w:rPr>
          <w:rFonts w:cs="David" w:hint="cs"/>
          <w:sz w:val="22"/>
          <w:szCs w:val="22"/>
          <w:rtl/>
        </w:rPr>
        <w:t>12.      (1937)  אנליזה סופית ואינסופית. (201-226).</w:t>
      </w:r>
    </w:p>
    <w:sectPr w:rsidR="00335FBE" w:rsidRPr="00746084" w:rsidSect="006D1D8D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54"/>
    <w:rsid w:val="00040C44"/>
    <w:rsid w:val="00055C80"/>
    <w:rsid w:val="000D3CDF"/>
    <w:rsid w:val="00100818"/>
    <w:rsid w:val="00120ED2"/>
    <w:rsid w:val="001C3B41"/>
    <w:rsid w:val="001F7955"/>
    <w:rsid w:val="00233FC3"/>
    <w:rsid w:val="00236F54"/>
    <w:rsid w:val="002C7739"/>
    <w:rsid w:val="00307A46"/>
    <w:rsid w:val="00334EC8"/>
    <w:rsid w:val="00335A82"/>
    <w:rsid w:val="00335FBE"/>
    <w:rsid w:val="003953EF"/>
    <w:rsid w:val="0039592D"/>
    <w:rsid w:val="003A397F"/>
    <w:rsid w:val="003B657A"/>
    <w:rsid w:val="003D074B"/>
    <w:rsid w:val="00446A11"/>
    <w:rsid w:val="00450098"/>
    <w:rsid w:val="004534CF"/>
    <w:rsid w:val="004827E5"/>
    <w:rsid w:val="004E3763"/>
    <w:rsid w:val="004E62C4"/>
    <w:rsid w:val="00516570"/>
    <w:rsid w:val="0052686F"/>
    <w:rsid w:val="00552C6D"/>
    <w:rsid w:val="00567A23"/>
    <w:rsid w:val="005C51E3"/>
    <w:rsid w:val="005D4376"/>
    <w:rsid w:val="005F0497"/>
    <w:rsid w:val="00641FFF"/>
    <w:rsid w:val="00654AED"/>
    <w:rsid w:val="00687E8E"/>
    <w:rsid w:val="00696D53"/>
    <w:rsid w:val="006D1D8D"/>
    <w:rsid w:val="00701EAB"/>
    <w:rsid w:val="00746084"/>
    <w:rsid w:val="00765E58"/>
    <w:rsid w:val="00795051"/>
    <w:rsid w:val="007C6BE7"/>
    <w:rsid w:val="008553EE"/>
    <w:rsid w:val="008931A7"/>
    <w:rsid w:val="008B2C1A"/>
    <w:rsid w:val="008C0ECB"/>
    <w:rsid w:val="008F7B1B"/>
    <w:rsid w:val="00904DDA"/>
    <w:rsid w:val="00907F48"/>
    <w:rsid w:val="00A56BB2"/>
    <w:rsid w:val="00AB043F"/>
    <w:rsid w:val="00AE0D71"/>
    <w:rsid w:val="00B00DBE"/>
    <w:rsid w:val="00B0747D"/>
    <w:rsid w:val="00B66B3F"/>
    <w:rsid w:val="00B93A94"/>
    <w:rsid w:val="00BA33E6"/>
    <w:rsid w:val="00BB416C"/>
    <w:rsid w:val="00BF3298"/>
    <w:rsid w:val="00BF79D8"/>
    <w:rsid w:val="00C27DFD"/>
    <w:rsid w:val="00C3538F"/>
    <w:rsid w:val="00D27F8D"/>
    <w:rsid w:val="00D350E0"/>
    <w:rsid w:val="00D37AC2"/>
    <w:rsid w:val="00D4178D"/>
    <w:rsid w:val="00D91C60"/>
    <w:rsid w:val="00E20AAA"/>
    <w:rsid w:val="00F038E6"/>
    <w:rsid w:val="00F345C9"/>
    <w:rsid w:val="00F77100"/>
    <w:rsid w:val="00F9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F8D"/>
    <w:pPr>
      <w:bidi/>
    </w:pPr>
    <w:rPr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ציטוט1"/>
    <w:basedOn w:val="a"/>
    <w:rsid w:val="00B93A94"/>
    <w:pPr>
      <w:bidi w:val="0"/>
      <w:ind w:left="576" w:right="576"/>
    </w:pPr>
  </w:style>
  <w:style w:type="paragraph" w:styleId="a3">
    <w:name w:val="List Paragraph"/>
    <w:basedOn w:val="a"/>
    <w:uiPriority w:val="34"/>
    <w:qFormat/>
    <w:rsid w:val="00BF7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F8D"/>
    <w:pPr>
      <w:bidi/>
    </w:pPr>
    <w:rPr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ציטוט1"/>
    <w:basedOn w:val="a"/>
    <w:rsid w:val="00B93A94"/>
    <w:pPr>
      <w:bidi w:val="0"/>
      <w:ind w:left="576" w:right="576"/>
    </w:pPr>
  </w:style>
  <w:style w:type="paragraph" w:styleId="a3">
    <w:name w:val="List Paragraph"/>
    <w:basedOn w:val="a"/>
    <w:uiPriority w:val="34"/>
    <w:qFormat/>
    <w:rsid w:val="00BF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נורית</cp:lastModifiedBy>
  <cp:revision>2</cp:revision>
  <cp:lastPrinted>2012-02-27T10:08:00Z</cp:lastPrinted>
  <dcterms:created xsi:type="dcterms:W3CDTF">2021-02-22T11:41:00Z</dcterms:created>
  <dcterms:modified xsi:type="dcterms:W3CDTF">2021-02-22T11:41:00Z</dcterms:modified>
</cp:coreProperties>
</file>